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6964"/>
      </w:tblGrid>
      <w:tr w:rsidR="00517281" w14:paraId="754B7EDA" w14:textId="77777777" w:rsidTr="002904AE">
        <w:tc>
          <w:tcPr>
            <w:tcW w:w="3116" w:type="dxa"/>
          </w:tcPr>
          <w:p w14:paraId="613CB2BC" w14:textId="77777777" w:rsidR="00517281" w:rsidRDefault="00517281" w:rsidP="00C026C7">
            <w:pPr>
              <w:pStyle w:val="Header"/>
              <w:rPr>
                <w:rFonts w:asciiTheme="majorHAnsi" w:eastAsiaTheme="majorEastAsia" w:hAnsiTheme="majorHAnsi" w:cstheme="majorBidi"/>
                <w:color w:val="4472C4" w:themeColor="accen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4472C4" w:themeColor="accent1"/>
                <w:sz w:val="24"/>
                <w:szCs w:val="24"/>
              </w:rPr>
              <w:drawing>
                <wp:inline distT="0" distB="0" distL="0" distR="0" wp14:anchorId="15506B2F" wp14:editId="64AD1974">
                  <wp:extent cx="1285875" cy="918769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265" cy="943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4" w:type="dxa"/>
          </w:tcPr>
          <w:p w14:paraId="70A1C1D1" w14:textId="5FD14ADE" w:rsidR="00517281" w:rsidRPr="006A2EDF" w:rsidRDefault="00517281" w:rsidP="00C026C7">
            <w:pPr>
              <w:pStyle w:val="Header"/>
              <w:jc w:val="right"/>
              <w:rPr>
                <w:rFonts w:asciiTheme="majorHAnsi" w:eastAsiaTheme="majorEastAsia" w:hAnsiTheme="majorHAnsi" w:cstheme="majorHAnsi"/>
                <w:b/>
                <w:bCs/>
                <w:color w:val="2E6B8D"/>
                <w:sz w:val="32"/>
                <w:szCs w:val="32"/>
              </w:rPr>
            </w:pPr>
            <w:r w:rsidRPr="006A2EDF">
              <w:rPr>
                <w:rFonts w:asciiTheme="majorHAnsi" w:eastAsiaTheme="majorEastAsia" w:hAnsiTheme="majorHAnsi" w:cstheme="majorHAnsi"/>
                <w:b/>
                <w:bCs/>
                <w:color w:val="2E6B8D"/>
                <w:sz w:val="32"/>
                <w:szCs w:val="32"/>
              </w:rPr>
              <w:t xml:space="preserve">Division </w:t>
            </w:r>
            <w:r w:rsidR="009D544D">
              <w:rPr>
                <w:rFonts w:asciiTheme="majorHAnsi" w:eastAsiaTheme="majorEastAsia" w:hAnsiTheme="majorHAnsi" w:cstheme="majorHAnsi"/>
                <w:b/>
                <w:bCs/>
                <w:color w:val="2E6B8D"/>
                <w:sz w:val="32"/>
                <w:szCs w:val="32"/>
              </w:rPr>
              <w:t>of Finance &amp; Management</w:t>
            </w:r>
          </w:p>
          <w:p w14:paraId="089561DF" w14:textId="7E4F59D8" w:rsidR="00517281" w:rsidRPr="005465AC" w:rsidRDefault="009D544D" w:rsidP="00C026C7">
            <w:pPr>
              <w:pStyle w:val="Header"/>
              <w:jc w:val="right"/>
              <w:rPr>
                <w:rFonts w:asciiTheme="majorHAnsi" w:eastAsiaTheme="majorEastAsia" w:hAnsiTheme="majorHAnsi" w:cstheme="majorHAnsi"/>
                <w:b/>
                <w:bCs/>
                <w:color w:val="2E6B8D"/>
                <w:sz w:val="26"/>
                <w:szCs w:val="26"/>
              </w:rPr>
            </w:pPr>
            <w:r w:rsidRPr="005465AC">
              <w:rPr>
                <w:rFonts w:asciiTheme="majorHAnsi" w:eastAsiaTheme="majorEastAsia" w:hAnsiTheme="majorHAnsi" w:cstheme="majorHAnsi"/>
                <w:b/>
                <w:bCs/>
                <w:color w:val="2E6B8D"/>
                <w:sz w:val="26"/>
                <w:szCs w:val="26"/>
              </w:rPr>
              <w:t>Office of Air, Rail &amp; Transit</w:t>
            </w:r>
          </w:p>
          <w:p w14:paraId="65D84DB3" w14:textId="3904E331" w:rsidR="00517281" w:rsidRPr="005465AC" w:rsidRDefault="009D544D" w:rsidP="00C026C7">
            <w:pPr>
              <w:pStyle w:val="Header"/>
              <w:jc w:val="right"/>
              <w:rPr>
                <w:rFonts w:asciiTheme="majorHAnsi" w:eastAsiaTheme="majorEastAsia" w:hAnsiTheme="majorHAnsi" w:cstheme="majorHAnsi"/>
                <w:color w:val="2E6B8D"/>
              </w:rPr>
            </w:pPr>
            <w:r w:rsidRPr="005465AC">
              <w:rPr>
                <w:rFonts w:asciiTheme="majorHAnsi" w:eastAsiaTheme="majorEastAsia" w:hAnsiTheme="majorHAnsi" w:cstheme="majorHAnsi"/>
                <w:color w:val="2E6B8D"/>
              </w:rPr>
              <w:t>700 East Broadway Avenue</w:t>
            </w:r>
          </w:p>
          <w:p w14:paraId="3629B3E1" w14:textId="03051501" w:rsidR="00517281" w:rsidRPr="005465AC" w:rsidRDefault="009D544D" w:rsidP="00C026C7">
            <w:pPr>
              <w:pStyle w:val="Header"/>
              <w:jc w:val="right"/>
              <w:rPr>
                <w:rFonts w:asciiTheme="majorHAnsi" w:eastAsiaTheme="majorEastAsia" w:hAnsiTheme="majorHAnsi" w:cstheme="majorHAnsi"/>
                <w:color w:val="2E6B8D"/>
              </w:rPr>
            </w:pPr>
            <w:r w:rsidRPr="005465AC">
              <w:rPr>
                <w:rFonts w:asciiTheme="majorHAnsi" w:eastAsiaTheme="majorEastAsia" w:hAnsiTheme="majorHAnsi" w:cstheme="majorHAnsi"/>
                <w:color w:val="2E6B8D"/>
              </w:rPr>
              <w:t>Pierre, SD 57501</w:t>
            </w:r>
          </w:p>
          <w:p w14:paraId="400E07BC" w14:textId="1F527A83" w:rsidR="00517281" w:rsidRPr="00F93248" w:rsidRDefault="00517281" w:rsidP="00D16998">
            <w:pPr>
              <w:pStyle w:val="Header"/>
              <w:jc w:val="right"/>
              <w:rPr>
                <w:rFonts w:eastAsiaTheme="majorEastAsia" w:cstheme="majorBidi"/>
                <w:color w:val="4472C4" w:themeColor="accent1"/>
              </w:rPr>
            </w:pPr>
            <w:r w:rsidRPr="005465AC">
              <w:rPr>
                <w:rFonts w:asciiTheme="majorHAnsi" w:eastAsiaTheme="majorEastAsia" w:hAnsiTheme="majorHAnsi" w:cstheme="majorHAnsi"/>
                <w:color w:val="2E6B8D"/>
              </w:rPr>
              <w:t xml:space="preserve">O: </w:t>
            </w:r>
            <w:r w:rsidR="009D544D" w:rsidRPr="005465AC">
              <w:rPr>
                <w:rFonts w:asciiTheme="majorHAnsi" w:eastAsiaTheme="majorEastAsia" w:hAnsiTheme="majorHAnsi" w:cstheme="majorHAnsi"/>
                <w:color w:val="2E6B8D"/>
              </w:rPr>
              <w:t>605.773-</w:t>
            </w:r>
            <w:r w:rsidR="00F9065F" w:rsidRPr="005465AC">
              <w:rPr>
                <w:rFonts w:asciiTheme="majorHAnsi" w:eastAsiaTheme="majorEastAsia" w:hAnsiTheme="majorHAnsi" w:cstheme="majorHAnsi"/>
                <w:color w:val="2E6B8D"/>
              </w:rPr>
              <w:t>3574</w:t>
            </w:r>
            <w:r w:rsidR="00D16998" w:rsidRPr="005465AC">
              <w:rPr>
                <w:rFonts w:asciiTheme="majorHAnsi" w:eastAsiaTheme="majorEastAsia" w:hAnsiTheme="majorHAnsi" w:cstheme="majorHAnsi"/>
                <w:color w:val="2E6B8D"/>
              </w:rPr>
              <w:t xml:space="preserve"> | </w:t>
            </w:r>
            <w:r w:rsidRPr="005465AC">
              <w:rPr>
                <w:rFonts w:asciiTheme="majorHAnsi" w:eastAsiaTheme="majorEastAsia" w:hAnsiTheme="majorHAnsi" w:cstheme="majorHAnsi"/>
                <w:color w:val="2E6B8D"/>
              </w:rPr>
              <w:t>dot.sd.gov</w:t>
            </w:r>
          </w:p>
        </w:tc>
      </w:tr>
    </w:tbl>
    <w:p w14:paraId="6C4E5CF1" w14:textId="77777777" w:rsidR="00517281" w:rsidRDefault="00341461" w:rsidP="00517281">
      <w:pPr>
        <w:pStyle w:val="Header"/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pict w14:anchorId="777F145A">
          <v:rect id="_x0000_i1025" style="width:468pt;height:1pt" o:hralign="center" o:hrstd="t" o:hrnoshade="t" o:hr="t" fillcolor="#2e6b8d" stroked="f"/>
        </w:pict>
      </w:r>
    </w:p>
    <w:p w14:paraId="1F049B43" w14:textId="77777777" w:rsidR="00E46C46" w:rsidRDefault="00E46C46" w:rsidP="004178F8">
      <w:pPr>
        <w:spacing w:after="0"/>
      </w:pPr>
    </w:p>
    <w:p w14:paraId="5FF7CCA5" w14:textId="058DC1F7" w:rsidR="005C7A18" w:rsidRDefault="005C7A18" w:rsidP="005C7A18">
      <w:pPr>
        <w:spacing w:before="120" w:after="0" w:line="240" w:lineRule="auto"/>
        <w:jc w:val="center"/>
        <w:rPr>
          <w:rFonts w:eastAsia="Times New Roman" w:cstheme="minorHAnsi"/>
          <w:b/>
          <w:bCs/>
          <w:sz w:val="20"/>
          <w:szCs w:val="24"/>
        </w:rPr>
      </w:pPr>
      <w:r>
        <w:rPr>
          <w:rFonts w:eastAsia="Times New Roman" w:cstheme="minorHAnsi"/>
          <w:b/>
          <w:bCs/>
          <w:sz w:val="20"/>
          <w:szCs w:val="24"/>
        </w:rPr>
        <w:t>Cutaway Vehicle Procurement Questions, Clarifications, and Addendums</w:t>
      </w:r>
    </w:p>
    <w:p w14:paraId="3C1AB078" w14:textId="6EA31989" w:rsidR="005C7A18" w:rsidRDefault="005C7A18" w:rsidP="005C7A18">
      <w:pPr>
        <w:spacing w:before="120" w:after="0" w:line="240" w:lineRule="auto"/>
        <w:jc w:val="center"/>
        <w:rPr>
          <w:rFonts w:eastAsia="Times New Roman" w:cstheme="minorHAnsi"/>
          <w:b/>
          <w:bCs/>
          <w:sz w:val="20"/>
          <w:szCs w:val="24"/>
        </w:rPr>
      </w:pPr>
      <w:r>
        <w:rPr>
          <w:rFonts w:eastAsia="Times New Roman" w:cstheme="minorHAnsi"/>
          <w:b/>
          <w:bCs/>
          <w:sz w:val="20"/>
          <w:szCs w:val="24"/>
        </w:rPr>
        <w:t>25RFP13980</w:t>
      </w:r>
    </w:p>
    <w:p w14:paraId="22DD5E7E" w14:textId="77777777" w:rsidR="005C7A18" w:rsidRDefault="005C7A18" w:rsidP="005C7A18">
      <w:pPr>
        <w:spacing w:before="120" w:after="0" w:line="240" w:lineRule="auto"/>
        <w:jc w:val="center"/>
        <w:rPr>
          <w:rFonts w:eastAsia="Times New Roman" w:cstheme="minorHAnsi"/>
          <w:b/>
          <w:bCs/>
          <w:sz w:val="20"/>
          <w:szCs w:val="24"/>
        </w:rPr>
      </w:pPr>
    </w:p>
    <w:p w14:paraId="15D6D871" w14:textId="4B8597EE" w:rsidR="005C7A18" w:rsidRDefault="00E525D5" w:rsidP="00E756CD">
      <w:pPr>
        <w:pStyle w:val="ListParagraph"/>
        <w:numPr>
          <w:ilvl w:val="0"/>
          <w:numId w:val="3"/>
        </w:numPr>
        <w:spacing w:before="120" w:after="0" w:line="240" w:lineRule="auto"/>
        <w:rPr>
          <w:rFonts w:eastAsia="Times New Roman" w:cstheme="minorHAnsi"/>
          <w:b/>
          <w:bCs/>
          <w:sz w:val="20"/>
          <w:szCs w:val="24"/>
        </w:rPr>
      </w:pPr>
      <w:r>
        <w:rPr>
          <w:rFonts w:eastAsia="Times New Roman" w:cstheme="minorHAnsi"/>
          <w:b/>
          <w:bCs/>
          <w:sz w:val="20"/>
          <w:szCs w:val="24"/>
        </w:rPr>
        <w:t xml:space="preserve">Please clarify if ambulatory seating totals for each floor plan can include foldaway seats (keeping in mind </w:t>
      </w:r>
      <w:r w:rsidR="00A76E7D">
        <w:rPr>
          <w:rFonts w:eastAsia="Times New Roman" w:cstheme="minorHAnsi"/>
          <w:b/>
          <w:bCs/>
          <w:sz w:val="20"/>
          <w:szCs w:val="24"/>
        </w:rPr>
        <w:t xml:space="preserve">that </w:t>
      </w:r>
      <w:r>
        <w:rPr>
          <w:rFonts w:eastAsia="Times New Roman" w:cstheme="minorHAnsi"/>
          <w:b/>
          <w:bCs/>
          <w:sz w:val="20"/>
          <w:szCs w:val="24"/>
        </w:rPr>
        <w:t xml:space="preserve">when foldaway seats are stowed due to wheelchairs on board, the resulting ambulatory seating total </w:t>
      </w:r>
      <w:r w:rsidR="00A76E7D">
        <w:rPr>
          <w:rFonts w:eastAsia="Times New Roman" w:cstheme="minorHAnsi"/>
          <w:b/>
          <w:bCs/>
          <w:sz w:val="20"/>
          <w:szCs w:val="24"/>
        </w:rPr>
        <w:t>would be reduced). Or, is the ambulatory seating total to remain constant for each floorplan, regardless of whether the wheelchairs are present?</w:t>
      </w:r>
    </w:p>
    <w:p w14:paraId="7B644F1B" w14:textId="291C5441" w:rsidR="00A76E7D" w:rsidRDefault="00A76E7D" w:rsidP="00E756CD">
      <w:pPr>
        <w:pStyle w:val="ListParagraph"/>
        <w:numPr>
          <w:ilvl w:val="1"/>
          <w:numId w:val="3"/>
        </w:numPr>
        <w:spacing w:before="120" w:after="0" w:line="240" w:lineRule="auto"/>
        <w:rPr>
          <w:rFonts w:eastAsia="Times New Roman" w:cstheme="minorHAnsi"/>
          <w:b/>
          <w:bCs/>
          <w:color w:val="FF0000"/>
          <w:sz w:val="20"/>
          <w:szCs w:val="24"/>
        </w:rPr>
      </w:pPr>
      <w:r w:rsidRPr="00E756CD">
        <w:rPr>
          <w:rFonts w:eastAsia="Times New Roman" w:cstheme="minorHAnsi"/>
          <w:b/>
          <w:bCs/>
          <w:color w:val="FF0000"/>
          <w:sz w:val="20"/>
          <w:szCs w:val="24"/>
        </w:rPr>
        <w:t xml:space="preserve">The ambulatory seating </w:t>
      </w:r>
      <w:r w:rsidR="00E756CD" w:rsidRPr="00E756CD">
        <w:rPr>
          <w:rFonts w:eastAsia="Times New Roman" w:cstheme="minorHAnsi"/>
          <w:b/>
          <w:bCs/>
          <w:color w:val="FF0000"/>
          <w:sz w:val="20"/>
          <w:szCs w:val="24"/>
        </w:rPr>
        <w:t>does not include foldaway seating.</w:t>
      </w:r>
    </w:p>
    <w:p w14:paraId="3F401564" w14:textId="12022433" w:rsidR="00E756CD" w:rsidRDefault="00E756CD" w:rsidP="00E756CD">
      <w:pPr>
        <w:pStyle w:val="ListParagraph"/>
        <w:numPr>
          <w:ilvl w:val="0"/>
          <w:numId w:val="3"/>
        </w:numPr>
        <w:spacing w:before="120" w:after="0" w:line="240" w:lineRule="auto"/>
        <w:rPr>
          <w:rFonts w:eastAsia="Times New Roman" w:cstheme="minorHAnsi"/>
          <w:b/>
          <w:bCs/>
          <w:sz w:val="20"/>
          <w:szCs w:val="24"/>
        </w:rPr>
      </w:pPr>
      <w:r w:rsidRPr="00E756CD">
        <w:rPr>
          <w:rFonts w:eastAsia="Times New Roman" w:cstheme="minorHAnsi"/>
          <w:b/>
          <w:bCs/>
          <w:sz w:val="20"/>
          <w:szCs w:val="24"/>
        </w:rPr>
        <w:t>Please confirm the trans/Air TA77SC3LP Super 15 Air Conditioning system is acceptable for your requirements ( see attached documentation)</w:t>
      </w:r>
    </w:p>
    <w:p w14:paraId="445DFD13" w14:textId="025B43F9" w:rsidR="00E756CD" w:rsidRPr="00E756CD" w:rsidRDefault="00E756CD" w:rsidP="00E756CD">
      <w:pPr>
        <w:pStyle w:val="ListParagraph"/>
        <w:numPr>
          <w:ilvl w:val="1"/>
          <w:numId w:val="3"/>
        </w:numPr>
        <w:spacing w:before="120" w:after="0" w:line="240" w:lineRule="auto"/>
        <w:rPr>
          <w:rFonts w:eastAsia="Times New Roman" w:cstheme="minorHAnsi"/>
          <w:b/>
          <w:bCs/>
          <w:color w:val="FF0000"/>
          <w:sz w:val="20"/>
          <w:szCs w:val="24"/>
        </w:rPr>
      </w:pPr>
      <w:r w:rsidRPr="00E756CD">
        <w:rPr>
          <w:rFonts w:eastAsia="Times New Roman" w:cstheme="minorHAnsi"/>
          <w:b/>
          <w:bCs/>
          <w:color w:val="FF0000"/>
          <w:sz w:val="20"/>
          <w:szCs w:val="24"/>
        </w:rPr>
        <w:t>Approved</w:t>
      </w:r>
    </w:p>
    <w:p w14:paraId="0B83CB60" w14:textId="662DA395" w:rsidR="00E756CD" w:rsidRDefault="00E756CD" w:rsidP="00E756CD">
      <w:pPr>
        <w:pStyle w:val="ListParagraph"/>
        <w:numPr>
          <w:ilvl w:val="0"/>
          <w:numId w:val="3"/>
        </w:numPr>
        <w:spacing w:before="120" w:after="0" w:line="240" w:lineRule="auto"/>
        <w:rPr>
          <w:rFonts w:eastAsia="Times New Roman" w:cstheme="minorHAnsi"/>
          <w:b/>
          <w:bCs/>
          <w:sz w:val="20"/>
          <w:szCs w:val="24"/>
        </w:rPr>
      </w:pPr>
      <w:r>
        <w:rPr>
          <w:rFonts w:eastAsia="Times New Roman" w:cstheme="minorHAnsi"/>
          <w:b/>
          <w:bCs/>
          <w:sz w:val="20"/>
          <w:szCs w:val="24"/>
        </w:rPr>
        <w:t>Please accept the standard caulking used (see attached specifications)</w:t>
      </w:r>
    </w:p>
    <w:p w14:paraId="22FF1F6A" w14:textId="63736F31" w:rsidR="00E756CD" w:rsidRDefault="00E756CD" w:rsidP="00E756CD">
      <w:pPr>
        <w:pStyle w:val="ListParagraph"/>
        <w:numPr>
          <w:ilvl w:val="1"/>
          <w:numId w:val="3"/>
        </w:numPr>
        <w:spacing w:before="120" w:after="0" w:line="240" w:lineRule="auto"/>
        <w:rPr>
          <w:rFonts w:eastAsia="Times New Roman" w:cstheme="minorHAnsi"/>
          <w:b/>
          <w:bCs/>
          <w:color w:val="FF0000"/>
          <w:sz w:val="20"/>
          <w:szCs w:val="24"/>
        </w:rPr>
      </w:pPr>
      <w:r w:rsidRPr="00E756CD">
        <w:rPr>
          <w:rFonts w:eastAsia="Times New Roman" w:cstheme="minorHAnsi"/>
          <w:b/>
          <w:bCs/>
          <w:color w:val="FF0000"/>
          <w:sz w:val="20"/>
          <w:szCs w:val="24"/>
        </w:rPr>
        <w:t>Approved</w:t>
      </w:r>
      <w:r>
        <w:rPr>
          <w:rFonts w:eastAsia="Times New Roman" w:cstheme="minorHAnsi"/>
          <w:b/>
          <w:bCs/>
          <w:color w:val="FF0000"/>
          <w:sz w:val="20"/>
          <w:szCs w:val="24"/>
        </w:rPr>
        <w:t xml:space="preserve"> </w:t>
      </w:r>
    </w:p>
    <w:p w14:paraId="71AAA993" w14:textId="0FD11731" w:rsidR="00E756CD" w:rsidRPr="00E756CD" w:rsidRDefault="00E756CD" w:rsidP="00E756CD">
      <w:pPr>
        <w:pStyle w:val="TableParagraph"/>
        <w:numPr>
          <w:ilvl w:val="0"/>
          <w:numId w:val="3"/>
        </w:numPr>
        <w:rPr>
          <w:rFonts w:eastAsia="Times New Roman" w:cstheme="minorHAnsi"/>
          <w:b/>
          <w:bCs/>
          <w:color w:val="FF0000"/>
          <w:sz w:val="20"/>
          <w:szCs w:val="24"/>
        </w:rPr>
      </w:pPr>
      <w:r>
        <w:t>Please</w:t>
      </w:r>
      <w:r>
        <w:rPr>
          <w:spacing w:val="-4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manufacturer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1"</w:t>
      </w:r>
      <w:r>
        <w:rPr>
          <w:spacing w:val="-2"/>
        </w:rPr>
        <w:t xml:space="preserve"> </w:t>
      </w:r>
      <w:r>
        <w:t>thick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walls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1"</w:t>
      </w:r>
      <w:r>
        <w:rPr>
          <w:spacing w:val="-2"/>
        </w:rPr>
        <w:t xml:space="preserve"> </w:t>
      </w:r>
      <w:r>
        <w:t>thick</w:t>
      </w:r>
      <w:r>
        <w:rPr>
          <w:spacing w:val="-1"/>
        </w:rPr>
        <w:t xml:space="preserve"> </w:t>
      </w:r>
      <w:r>
        <w:rPr>
          <w:spacing w:val="-2"/>
        </w:rPr>
        <w:t>polystyrene insulation.</w:t>
      </w:r>
    </w:p>
    <w:p w14:paraId="12D8E83E" w14:textId="51602558" w:rsidR="00E756CD" w:rsidRDefault="00E756CD" w:rsidP="00E756CD">
      <w:pPr>
        <w:pStyle w:val="TableParagraph"/>
        <w:numPr>
          <w:ilvl w:val="0"/>
          <w:numId w:val="4"/>
        </w:numPr>
        <w:rPr>
          <w:rFonts w:eastAsia="Times New Roman" w:cstheme="minorHAnsi"/>
          <w:b/>
          <w:bCs/>
          <w:color w:val="FF0000"/>
          <w:sz w:val="20"/>
          <w:szCs w:val="24"/>
        </w:rPr>
      </w:pPr>
      <w:r>
        <w:rPr>
          <w:rFonts w:eastAsia="Times New Roman" w:cstheme="minorHAnsi"/>
          <w:b/>
          <w:bCs/>
          <w:color w:val="FF0000"/>
          <w:sz w:val="20"/>
          <w:szCs w:val="24"/>
        </w:rPr>
        <w:t>Approved</w:t>
      </w:r>
    </w:p>
    <w:p w14:paraId="1BD0CF5E" w14:textId="5AFB408A" w:rsidR="00E756CD" w:rsidRPr="00E756CD" w:rsidRDefault="00E756CD" w:rsidP="00E756CD">
      <w:pPr>
        <w:pStyle w:val="TableParagraph"/>
        <w:numPr>
          <w:ilvl w:val="0"/>
          <w:numId w:val="3"/>
        </w:numPr>
        <w:rPr>
          <w:rFonts w:eastAsia="Times New Roman" w:cstheme="minorHAnsi"/>
          <w:b/>
          <w:bCs/>
          <w:color w:val="FF0000"/>
          <w:sz w:val="20"/>
          <w:szCs w:val="24"/>
        </w:rPr>
      </w:pPr>
      <w:r>
        <w:t>Please</w:t>
      </w:r>
      <w:r>
        <w:rPr>
          <w:spacing w:val="-1"/>
        </w:rPr>
        <w:t xml:space="preserve"> </w:t>
      </w:r>
      <w:r>
        <w:t>confirm overall</w:t>
      </w:r>
      <w:r>
        <w:rPr>
          <w:spacing w:val="-1"/>
        </w:rPr>
        <w:t xml:space="preserve"> </w:t>
      </w:r>
      <w:r>
        <w:t>vehicle width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96"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 xml:space="preserve">not include OEM </w:t>
      </w:r>
      <w:r>
        <w:rPr>
          <w:spacing w:val="-2"/>
        </w:rPr>
        <w:t>mirrors.</w:t>
      </w:r>
    </w:p>
    <w:p w14:paraId="2723FB12" w14:textId="08C9D659" w:rsidR="00E756CD" w:rsidRPr="00E756CD" w:rsidRDefault="00E756CD" w:rsidP="00E756CD">
      <w:pPr>
        <w:pStyle w:val="TableParagraph"/>
        <w:numPr>
          <w:ilvl w:val="1"/>
          <w:numId w:val="3"/>
        </w:numPr>
        <w:rPr>
          <w:rFonts w:eastAsia="Times New Roman" w:cstheme="minorHAnsi"/>
          <w:b/>
          <w:bCs/>
          <w:color w:val="FF0000"/>
          <w:sz w:val="20"/>
          <w:szCs w:val="24"/>
        </w:rPr>
      </w:pPr>
      <w:r w:rsidRPr="00E756CD">
        <w:rPr>
          <w:color w:val="FF0000"/>
          <w:spacing w:val="-2"/>
        </w:rPr>
        <w:t>96” width does not include mirrors</w:t>
      </w:r>
    </w:p>
    <w:p w14:paraId="1AC1DE49" w14:textId="709DC672" w:rsidR="00E756CD" w:rsidRPr="00001F17" w:rsidRDefault="00E756CD" w:rsidP="00001F17">
      <w:pPr>
        <w:pStyle w:val="TableParagraph"/>
        <w:numPr>
          <w:ilvl w:val="0"/>
          <w:numId w:val="3"/>
        </w:numPr>
        <w:spacing w:line="259" w:lineRule="auto"/>
        <w:rPr>
          <w:rFonts w:eastAsia="Times New Roman" w:cstheme="minorHAnsi"/>
          <w:b/>
          <w:bCs/>
          <w:color w:val="FF0000"/>
          <w:sz w:val="20"/>
          <w:szCs w:val="24"/>
        </w:rPr>
      </w:pPr>
      <w:r>
        <w:t>Please accept manufacturer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heavy duty driver</w:t>
      </w:r>
      <w:r>
        <w:rPr>
          <w:spacing w:val="-1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16-gauge steel tubes and two support brackets attached to the both the rocker panel and the threaded studs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OEM cab.</w:t>
      </w:r>
      <w:r>
        <w:rPr>
          <w:spacing w:val="72"/>
          <w:w w:val="150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attached</w:t>
      </w:r>
      <w:r>
        <w:rPr>
          <w:spacing w:val="-2"/>
        </w:rPr>
        <w:t xml:space="preserve"> specifications</w:t>
      </w:r>
      <w:r w:rsidR="00001F17">
        <w:rPr>
          <w:spacing w:val="-2"/>
        </w:rPr>
        <w:t>)</w:t>
      </w:r>
    </w:p>
    <w:p w14:paraId="0E32EB15" w14:textId="3FE7E433" w:rsidR="00001F17" w:rsidRPr="00DC22E3" w:rsidRDefault="00001F17" w:rsidP="00001F17">
      <w:pPr>
        <w:pStyle w:val="TableParagraph"/>
        <w:numPr>
          <w:ilvl w:val="1"/>
          <w:numId w:val="3"/>
        </w:numPr>
        <w:spacing w:line="259" w:lineRule="auto"/>
        <w:rPr>
          <w:rFonts w:eastAsia="Times New Roman" w:cstheme="minorHAnsi"/>
          <w:b/>
          <w:bCs/>
          <w:color w:val="FF0000"/>
          <w:sz w:val="20"/>
          <w:szCs w:val="24"/>
        </w:rPr>
      </w:pPr>
      <w:r w:rsidRPr="00001F17">
        <w:rPr>
          <w:color w:val="FF0000"/>
          <w:spacing w:val="-2"/>
        </w:rPr>
        <w:t>Approved</w:t>
      </w:r>
    </w:p>
    <w:p w14:paraId="29B1E2DE" w14:textId="15229B1D" w:rsidR="00DC22E3" w:rsidRPr="00DC22E3" w:rsidRDefault="00DC22E3" w:rsidP="00DC22E3">
      <w:pPr>
        <w:pStyle w:val="TableParagraph"/>
        <w:numPr>
          <w:ilvl w:val="0"/>
          <w:numId w:val="3"/>
        </w:numPr>
        <w:spacing w:line="259" w:lineRule="auto"/>
        <w:rPr>
          <w:rFonts w:eastAsia="Times New Roman" w:cstheme="minorHAnsi"/>
          <w:b/>
          <w:bCs/>
          <w:color w:val="FF0000"/>
          <w:sz w:val="20"/>
          <w:szCs w:val="24"/>
        </w:rPr>
      </w:pPr>
      <w:r>
        <w:t>Can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confirm if all ADA buses are to have a minimum of ONE (1) Walker Securement System,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 the request 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system under</w:t>
      </w:r>
      <w:r>
        <w:rPr>
          <w:spacing w:val="-1"/>
        </w:rPr>
        <w:t xml:space="preserve"> </w:t>
      </w:r>
      <w:r>
        <w:t>Alternate Items</w:t>
      </w:r>
      <w:r>
        <w:rPr>
          <w:spacing w:val="-1"/>
        </w:rPr>
        <w:t xml:space="preserve"> </w:t>
      </w:r>
      <w:r>
        <w:t xml:space="preserve">list (Page 40 section 3.1.67) is a request for pricing to add </w:t>
      </w:r>
      <w:r>
        <w:rPr>
          <w:i/>
        </w:rPr>
        <w:t>additional</w:t>
      </w:r>
      <w:r>
        <w:rPr>
          <w:i/>
          <w:spacing w:val="40"/>
        </w:rPr>
        <w:t xml:space="preserve"> </w:t>
      </w:r>
      <w:r>
        <w:t>Walker Securement Systems?</w:t>
      </w:r>
    </w:p>
    <w:p w14:paraId="54E602E8" w14:textId="6EF79540" w:rsidR="00DC22E3" w:rsidRPr="00DC22E3" w:rsidRDefault="00DC22E3" w:rsidP="00DC22E3">
      <w:pPr>
        <w:pStyle w:val="TableParagraph"/>
        <w:numPr>
          <w:ilvl w:val="1"/>
          <w:numId w:val="3"/>
        </w:numPr>
        <w:spacing w:line="259" w:lineRule="auto"/>
        <w:rPr>
          <w:rFonts w:eastAsia="Times New Roman" w:cstheme="minorHAnsi"/>
          <w:b/>
          <w:bCs/>
          <w:color w:val="FF0000"/>
          <w:sz w:val="20"/>
          <w:szCs w:val="24"/>
        </w:rPr>
      </w:pPr>
      <w:r w:rsidRPr="00DC22E3">
        <w:rPr>
          <w:color w:val="FF0000"/>
        </w:rPr>
        <w:t>The walker Securement System is for an additional walker securement system</w:t>
      </w:r>
    </w:p>
    <w:p w14:paraId="60DD0EFD" w14:textId="1C5059F8" w:rsidR="00DC22E3" w:rsidRPr="00DC22E3" w:rsidRDefault="00DC22E3" w:rsidP="00DC22E3">
      <w:pPr>
        <w:pStyle w:val="TableParagraph"/>
        <w:numPr>
          <w:ilvl w:val="0"/>
          <w:numId w:val="3"/>
        </w:numPr>
        <w:spacing w:line="259" w:lineRule="auto"/>
        <w:ind w:right="84"/>
        <w:rPr>
          <w:rFonts w:eastAsia="Times New Roman" w:cstheme="minorHAnsi"/>
          <w:b/>
          <w:bCs/>
          <w:color w:val="FF0000"/>
          <w:sz w:val="20"/>
          <w:szCs w:val="24"/>
        </w:rPr>
      </w:pPr>
      <w:r>
        <w:t>Please confirm if prewire, ground</w:t>
      </w:r>
      <w:r>
        <w:rPr>
          <w:spacing w:val="-1"/>
        </w:rPr>
        <w:t xml:space="preserve"> </w:t>
      </w:r>
      <w:r>
        <w:t>plane</w:t>
      </w:r>
      <w:r w:rsidR="005B2852">
        <w:t>,</w:t>
      </w:r>
      <w:r>
        <w:t xml:space="preserve"> and</w:t>
      </w:r>
      <w:r>
        <w:rPr>
          <w:spacing w:val="-1"/>
        </w:rPr>
        <w:t xml:space="preserve"> </w:t>
      </w:r>
      <w:r>
        <w:t>roof access plate for 2-way radio is to be standard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vehicles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section.</w:t>
      </w:r>
      <w:r>
        <w:rPr>
          <w:spacing w:val="71"/>
          <w:w w:val="15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inquiry is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2"/>
        </w:rPr>
        <w:t xml:space="preserve">under </w:t>
      </w:r>
      <w:r>
        <w:t>section</w:t>
      </w:r>
      <w:r>
        <w:rPr>
          <w:spacing w:val="-4"/>
        </w:rPr>
        <w:t xml:space="preserve"> </w:t>
      </w:r>
      <w:r>
        <w:t>3.1.67 on</w:t>
      </w:r>
      <w:r>
        <w:rPr>
          <w:spacing w:val="-2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41 it is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rPr>
          <w:spacing w:val="-2"/>
        </w:rPr>
        <w:t>(#36).</w:t>
      </w:r>
    </w:p>
    <w:p w14:paraId="1F56E818" w14:textId="6412B6BC" w:rsidR="00DC2DC6" w:rsidRPr="00DC2DC6" w:rsidRDefault="00DC22E3" w:rsidP="00DC22E3">
      <w:pPr>
        <w:pStyle w:val="TableParagraph"/>
        <w:numPr>
          <w:ilvl w:val="1"/>
          <w:numId w:val="3"/>
        </w:numPr>
        <w:spacing w:line="259" w:lineRule="auto"/>
        <w:ind w:right="84"/>
        <w:rPr>
          <w:rFonts w:eastAsia="Times New Roman" w:cstheme="minorHAnsi"/>
          <w:b/>
          <w:bCs/>
          <w:color w:val="FF0000"/>
          <w:sz w:val="20"/>
          <w:szCs w:val="24"/>
        </w:rPr>
      </w:pPr>
      <w:r w:rsidRPr="005B2852">
        <w:rPr>
          <w:color w:val="FF0000"/>
          <w:spacing w:val="-2"/>
        </w:rPr>
        <w:t xml:space="preserve">All vehicles </w:t>
      </w:r>
      <w:r w:rsidR="005B2852" w:rsidRPr="005B2852">
        <w:rPr>
          <w:color w:val="FF0000"/>
          <w:spacing w:val="-2"/>
        </w:rPr>
        <w:t xml:space="preserve">should have </w:t>
      </w:r>
      <w:r w:rsidR="00DC2DC6">
        <w:rPr>
          <w:color w:val="FF0000"/>
        </w:rPr>
        <w:t xml:space="preserve">a prewired ground plane and roof access plate for a </w:t>
      </w:r>
      <w:r w:rsidR="005B2852" w:rsidRPr="005B2852">
        <w:rPr>
          <w:color w:val="FF0000"/>
        </w:rPr>
        <w:t>2-way radio. It will be removed from section 3.1.67</w:t>
      </w:r>
      <w:r w:rsidR="00DC2DC6">
        <w:rPr>
          <w:color w:val="FF0000"/>
        </w:rPr>
        <w:t xml:space="preserve"> and the cost proposal form</w:t>
      </w:r>
    </w:p>
    <w:p w14:paraId="480E5B20" w14:textId="17F9559F" w:rsidR="00DC22E3" w:rsidRPr="00D22A8B" w:rsidRDefault="005B2852" w:rsidP="00DC2DC6">
      <w:pPr>
        <w:pStyle w:val="TableParagraph"/>
        <w:numPr>
          <w:ilvl w:val="0"/>
          <w:numId w:val="3"/>
        </w:numPr>
        <w:spacing w:line="259" w:lineRule="auto"/>
        <w:ind w:right="84"/>
        <w:rPr>
          <w:rFonts w:eastAsia="Times New Roman" w:cstheme="minorHAnsi"/>
          <w:b/>
          <w:bCs/>
          <w:sz w:val="20"/>
          <w:szCs w:val="24"/>
        </w:rPr>
      </w:pPr>
      <w:r w:rsidRPr="00D22A8B">
        <w:t xml:space="preserve"> </w:t>
      </w:r>
      <w:r w:rsidRPr="00D22A8B">
        <w:rPr>
          <w:spacing w:val="-2"/>
        </w:rPr>
        <w:t xml:space="preserve"> </w:t>
      </w:r>
      <w:r w:rsidR="00D22A8B" w:rsidRPr="00D22A8B">
        <w:rPr>
          <w:spacing w:val="-2"/>
        </w:rPr>
        <w:t>Please accept COSA flooring, see tech specs, I will list ¾ inch marine grade flooring as an option.</w:t>
      </w:r>
    </w:p>
    <w:p w14:paraId="6CC1F1D8" w14:textId="174C51AE" w:rsidR="00D22A8B" w:rsidRPr="00D22A8B" w:rsidRDefault="00D22A8B" w:rsidP="00D22A8B">
      <w:pPr>
        <w:pStyle w:val="TableParagraph"/>
        <w:numPr>
          <w:ilvl w:val="1"/>
          <w:numId w:val="3"/>
        </w:numPr>
        <w:spacing w:line="259" w:lineRule="auto"/>
        <w:ind w:right="84"/>
        <w:rPr>
          <w:rFonts w:eastAsia="Times New Roman" w:cstheme="minorHAnsi"/>
          <w:b/>
          <w:bCs/>
          <w:color w:val="FF0000"/>
          <w:sz w:val="20"/>
          <w:szCs w:val="24"/>
        </w:rPr>
      </w:pPr>
      <w:r w:rsidRPr="00D22A8B">
        <w:rPr>
          <w:color w:val="FF0000"/>
          <w:spacing w:val="-2"/>
        </w:rPr>
        <w:t>Approved</w:t>
      </w:r>
    </w:p>
    <w:p w14:paraId="23B782D5" w14:textId="255E9C34" w:rsidR="00D22A8B" w:rsidRPr="00D22A8B" w:rsidRDefault="00D22A8B" w:rsidP="00D22A8B">
      <w:pPr>
        <w:pStyle w:val="TableParagraph"/>
        <w:numPr>
          <w:ilvl w:val="0"/>
          <w:numId w:val="3"/>
        </w:numPr>
        <w:ind w:right="84"/>
        <w:rPr>
          <w:rFonts w:eastAsia="Times New Roman" w:cstheme="minorHAnsi"/>
          <w:color w:val="FF0000"/>
        </w:rPr>
      </w:pPr>
      <w:r>
        <w:rPr>
          <w:rFonts w:eastAsia="Times New Roman" w:cstheme="minorHAnsi"/>
          <w:b/>
          <w:bCs/>
          <w:color w:val="FF0000"/>
          <w:sz w:val="20"/>
          <w:szCs w:val="24"/>
        </w:rPr>
        <w:t xml:space="preserve"> </w:t>
      </w:r>
      <w:r w:rsidRPr="00D22A8B">
        <w:t xml:space="preserve">Please accept a step well-constructed of </w:t>
      </w:r>
      <w:proofErr w:type="spellStart"/>
      <w:r w:rsidRPr="00D22A8B">
        <w:t>Nidacore</w:t>
      </w:r>
      <w:proofErr w:type="spellEnd"/>
      <w:r w:rsidRPr="00D22A8B">
        <w:t xml:space="preserve"> and Hardwire reinforced fiberglass and is securely fastened to the floor and sidewall substructure. It is deflection tested and permanently resistant to corrosion and deterioration. </w:t>
      </w:r>
    </w:p>
    <w:p w14:paraId="05BF3264" w14:textId="35642EC9" w:rsidR="00E756CD" w:rsidRDefault="00D22A8B" w:rsidP="00D22A8B">
      <w:pPr>
        <w:pStyle w:val="TableParagraph"/>
        <w:numPr>
          <w:ilvl w:val="0"/>
          <w:numId w:val="4"/>
        </w:numPr>
        <w:rPr>
          <w:rFonts w:eastAsia="Times New Roman" w:cstheme="minorHAnsi"/>
          <w:color w:val="FF0000"/>
          <w:sz w:val="20"/>
          <w:szCs w:val="24"/>
        </w:rPr>
      </w:pPr>
      <w:r>
        <w:rPr>
          <w:rFonts w:eastAsia="Times New Roman" w:cstheme="minorHAnsi"/>
          <w:color w:val="FF0000"/>
          <w:sz w:val="20"/>
          <w:szCs w:val="24"/>
        </w:rPr>
        <w:t>Approved</w:t>
      </w:r>
    </w:p>
    <w:p w14:paraId="0F6B91C2" w14:textId="465BB7D3" w:rsidR="00D22A8B" w:rsidRPr="00D22A8B" w:rsidRDefault="00D22A8B" w:rsidP="00D22A8B">
      <w:pPr>
        <w:pStyle w:val="TableParagraph"/>
        <w:numPr>
          <w:ilvl w:val="0"/>
          <w:numId w:val="3"/>
        </w:numPr>
        <w:rPr>
          <w:rFonts w:eastAsia="Times New Roman" w:cstheme="minorHAnsi"/>
          <w:color w:val="FF0000"/>
        </w:rPr>
      </w:pPr>
      <w:r w:rsidRPr="00D22A8B">
        <w:t>Please accept the already placed red light above the rear door to illuminate the Interior EXIT sign STICKER above the rear door</w:t>
      </w:r>
      <w:r>
        <w:t>.</w:t>
      </w:r>
    </w:p>
    <w:p w14:paraId="10D8FE96" w14:textId="183B4B57" w:rsidR="00D22A8B" w:rsidRPr="00D22A8B" w:rsidRDefault="00D22A8B" w:rsidP="00D22A8B">
      <w:pPr>
        <w:pStyle w:val="TableParagraph"/>
        <w:numPr>
          <w:ilvl w:val="1"/>
          <w:numId w:val="3"/>
        </w:numPr>
        <w:rPr>
          <w:rFonts w:eastAsia="Times New Roman" w:cstheme="minorHAnsi"/>
          <w:color w:val="FF0000"/>
        </w:rPr>
      </w:pPr>
      <w:r w:rsidRPr="00D22A8B">
        <w:rPr>
          <w:color w:val="FF0000"/>
        </w:rPr>
        <w:t>Approved</w:t>
      </w:r>
    </w:p>
    <w:p w14:paraId="06C94A4A" w14:textId="2427261F" w:rsidR="00D22A8B" w:rsidRPr="00D22A8B" w:rsidRDefault="00D22A8B" w:rsidP="00D22A8B">
      <w:pPr>
        <w:pStyle w:val="TableParagraph"/>
        <w:numPr>
          <w:ilvl w:val="0"/>
          <w:numId w:val="3"/>
        </w:numPr>
        <w:rPr>
          <w:rFonts w:eastAsia="Times New Roman" w:cstheme="minorHAnsi"/>
          <w:color w:val="FF0000"/>
        </w:rPr>
      </w:pPr>
      <w:r w:rsidRPr="00D22A8B">
        <w:t xml:space="preserve">Please accept OEM Ford dual 750 CCA batteries </w:t>
      </w:r>
    </w:p>
    <w:p w14:paraId="08BE6988" w14:textId="7DD8B603" w:rsidR="00D22A8B" w:rsidRPr="00D22A8B" w:rsidRDefault="00D22A8B" w:rsidP="00D22A8B">
      <w:pPr>
        <w:pStyle w:val="TableParagraph"/>
        <w:numPr>
          <w:ilvl w:val="1"/>
          <w:numId w:val="3"/>
        </w:numPr>
        <w:rPr>
          <w:rFonts w:eastAsia="Times New Roman" w:cstheme="minorHAnsi"/>
          <w:color w:val="FF0000"/>
        </w:rPr>
      </w:pPr>
      <w:r w:rsidRPr="00D22A8B">
        <w:rPr>
          <w:color w:val="FF0000"/>
        </w:rPr>
        <w:t>Approved</w:t>
      </w:r>
    </w:p>
    <w:p w14:paraId="060A7691" w14:textId="256D58E3" w:rsidR="00D22A8B" w:rsidRPr="00D22A8B" w:rsidRDefault="00D22A8B" w:rsidP="00D22A8B">
      <w:pPr>
        <w:pStyle w:val="TableParagraph"/>
        <w:numPr>
          <w:ilvl w:val="0"/>
          <w:numId w:val="3"/>
        </w:numPr>
        <w:rPr>
          <w:rFonts w:eastAsia="Times New Roman" w:cstheme="minorHAnsi"/>
          <w:color w:val="FF0000"/>
        </w:rPr>
      </w:pPr>
      <w:r w:rsidRPr="00D22A8B">
        <w:lastRenderedPageBreak/>
        <w:t xml:space="preserve">Please accept OEM Ford front bumper and a 12 Gauge steel </w:t>
      </w:r>
      <w:r w:rsidR="00461F05" w:rsidRPr="00D22A8B">
        <w:t>Bumper on</w:t>
      </w:r>
      <w:r w:rsidRPr="00D22A8B">
        <w:t xml:space="preserve"> the rear.  Energy absorbing bumpers will be listed on the Alternate Items Sheet to include the sonar detection system option.</w:t>
      </w:r>
    </w:p>
    <w:p w14:paraId="6E68FD52" w14:textId="2EB8566C" w:rsidR="00D22A8B" w:rsidRPr="00D22A8B" w:rsidRDefault="00D22A8B" w:rsidP="00D22A8B">
      <w:pPr>
        <w:pStyle w:val="TableParagraph"/>
        <w:numPr>
          <w:ilvl w:val="1"/>
          <w:numId w:val="3"/>
        </w:numPr>
        <w:rPr>
          <w:rFonts w:eastAsia="Times New Roman" w:cstheme="minorHAnsi"/>
          <w:color w:val="FF0000"/>
        </w:rPr>
      </w:pPr>
      <w:r w:rsidRPr="00D22A8B">
        <w:rPr>
          <w:color w:val="FF0000"/>
        </w:rPr>
        <w:t>Approved</w:t>
      </w:r>
    </w:p>
    <w:p w14:paraId="20114D41" w14:textId="3B482B12" w:rsidR="00D22A8B" w:rsidRPr="00461F05" w:rsidRDefault="00D22A8B" w:rsidP="00D22A8B">
      <w:pPr>
        <w:pStyle w:val="TableParagraph"/>
        <w:numPr>
          <w:ilvl w:val="0"/>
          <w:numId w:val="3"/>
        </w:numPr>
        <w:rPr>
          <w:rFonts w:eastAsia="Times New Roman" w:cstheme="minorHAnsi"/>
          <w:color w:val="FF0000"/>
        </w:rPr>
      </w:pPr>
      <w:r w:rsidRPr="00D22A8B">
        <w:t>Please accept nongaseous prep engines if agencies do not want propane (Cost Savings).  If agencies want a propane, the chassis will be ordered with the engine option of harden valves. Choose in Alternate Items list option</w:t>
      </w:r>
    </w:p>
    <w:p w14:paraId="425D5534" w14:textId="4649D8B4" w:rsidR="00461F05" w:rsidRPr="00461F05" w:rsidRDefault="00461F05" w:rsidP="00461F05">
      <w:pPr>
        <w:pStyle w:val="TableParagraph"/>
        <w:numPr>
          <w:ilvl w:val="1"/>
          <w:numId w:val="3"/>
        </w:numPr>
        <w:rPr>
          <w:rFonts w:eastAsia="Times New Roman" w:cstheme="minorHAnsi"/>
          <w:color w:val="FF0000"/>
        </w:rPr>
      </w:pPr>
      <w:r w:rsidRPr="00461F05">
        <w:rPr>
          <w:color w:val="FF0000"/>
        </w:rPr>
        <w:t xml:space="preserve">Gas engines may have largest available OEM engine, only the propane engines need the gaseous prep engines and harden valves. </w:t>
      </w:r>
    </w:p>
    <w:p w14:paraId="3F0F9F92" w14:textId="7A90D74D" w:rsidR="00461F05" w:rsidRDefault="00A80F33" w:rsidP="00461F05">
      <w:pPr>
        <w:pStyle w:val="TableParagraph"/>
        <w:numPr>
          <w:ilvl w:val="0"/>
          <w:numId w:val="3"/>
        </w:numPr>
        <w:rPr>
          <w:rFonts w:eastAsia="Times New Roman" w:cstheme="minorHAnsi"/>
        </w:rPr>
      </w:pPr>
      <w:r w:rsidRPr="00A80F33">
        <w:rPr>
          <w:rFonts w:eastAsia="Times New Roman" w:cstheme="minorHAnsi"/>
        </w:rPr>
        <w:t>Please accept COSA flooring, see attached specifications. I will list ¾ inch marine grade flooring as an option credit in the alternate items list.</w:t>
      </w:r>
    </w:p>
    <w:p w14:paraId="30819133" w14:textId="51EC1565" w:rsidR="00A80F33" w:rsidRDefault="00A80F33" w:rsidP="00A80F33">
      <w:pPr>
        <w:pStyle w:val="TableParagraph"/>
        <w:numPr>
          <w:ilvl w:val="1"/>
          <w:numId w:val="3"/>
        </w:numPr>
        <w:rPr>
          <w:rFonts w:eastAsia="Times New Roman" w:cstheme="minorHAnsi"/>
          <w:color w:val="FF0000"/>
        </w:rPr>
      </w:pPr>
      <w:r w:rsidRPr="00A80F33">
        <w:rPr>
          <w:rFonts w:eastAsia="Times New Roman" w:cstheme="minorHAnsi"/>
          <w:color w:val="FF0000"/>
        </w:rPr>
        <w:t>Approved</w:t>
      </w:r>
    </w:p>
    <w:p w14:paraId="0B95EA87" w14:textId="28D9646F" w:rsidR="00A80F33" w:rsidRPr="00A80F33" w:rsidRDefault="00A80F33" w:rsidP="00A80F33">
      <w:pPr>
        <w:pStyle w:val="TableParagraph"/>
        <w:numPr>
          <w:ilvl w:val="0"/>
          <w:numId w:val="3"/>
        </w:numPr>
        <w:rPr>
          <w:rFonts w:asciiTheme="minorHAnsi" w:eastAsia="Times New Roman" w:hAnsiTheme="minorHAnsi" w:cstheme="minorHAnsi"/>
          <w:color w:val="FF0000"/>
        </w:rPr>
      </w:pPr>
      <w:r w:rsidRPr="00A80F33">
        <w:rPr>
          <w:rFonts w:asciiTheme="minorHAnsi" w:hAnsiTheme="minorHAnsi" w:cstheme="minorHAnsi"/>
        </w:rPr>
        <w:t xml:space="preserve">Please accept a step well-constructed of </w:t>
      </w:r>
      <w:proofErr w:type="spellStart"/>
      <w:r w:rsidRPr="00A80F33">
        <w:rPr>
          <w:rFonts w:asciiTheme="minorHAnsi" w:hAnsiTheme="minorHAnsi" w:cstheme="minorHAnsi"/>
        </w:rPr>
        <w:t>Nidacore</w:t>
      </w:r>
      <w:proofErr w:type="spellEnd"/>
      <w:r w:rsidRPr="00A80F33">
        <w:rPr>
          <w:rFonts w:asciiTheme="minorHAnsi" w:hAnsiTheme="minorHAnsi" w:cstheme="minorHAnsi"/>
        </w:rPr>
        <w:t xml:space="preserve"> and Hardwire reinforced fiberglass and is securely fastened to the floor and sidewall substructure. It is deflection tested and permanently resistant to corrosion and deterioration</w:t>
      </w:r>
      <w:r>
        <w:rPr>
          <w:rFonts w:asciiTheme="minorHAnsi" w:hAnsiTheme="minorHAnsi" w:cstheme="minorHAnsi"/>
        </w:rPr>
        <w:t>.</w:t>
      </w:r>
    </w:p>
    <w:p w14:paraId="7EB55AF7" w14:textId="319A23E0" w:rsidR="00A80F33" w:rsidRPr="00A80F33" w:rsidRDefault="00A80F33" w:rsidP="00A80F33">
      <w:pPr>
        <w:pStyle w:val="TableParagraph"/>
        <w:numPr>
          <w:ilvl w:val="1"/>
          <w:numId w:val="3"/>
        </w:numPr>
        <w:rPr>
          <w:rFonts w:asciiTheme="minorHAnsi" w:eastAsia="Times New Roman" w:hAnsiTheme="minorHAnsi" w:cstheme="minorHAnsi"/>
          <w:color w:val="FF0000"/>
        </w:rPr>
      </w:pPr>
      <w:r w:rsidRPr="00A80F33">
        <w:rPr>
          <w:rFonts w:asciiTheme="minorHAnsi" w:hAnsiTheme="minorHAnsi" w:cstheme="minorHAnsi"/>
          <w:color w:val="FF0000"/>
        </w:rPr>
        <w:t>Approved</w:t>
      </w:r>
    </w:p>
    <w:p w14:paraId="38DBB339" w14:textId="51A51977" w:rsidR="00A80F33" w:rsidRPr="000D1171" w:rsidRDefault="000D1171" w:rsidP="00A80F33">
      <w:pPr>
        <w:pStyle w:val="TableParagraph"/>
        <w:numPr>
          <w:ilvl w:val="0"/>
          <w:numId w:val="3"/>
        </w:numPr>
        <w:rPr>
          <w:rFonts w:asciiTheme="minorHAnsi" w:eastAsia="Times New Roman" w:hAnsiTheme="minorHAnsi" w:cstheme="minorHAnsi"/>
          <w:color w:val="FF0000"/>
        </w:rPr>
      </w:pPr>
      <w:r w:rsidRPr="000D1171">
        <w:t>Please accept the already placed red light above the rear door to illuminate the Interior EXIT sign STICKER above the rear door</w:t>
      </w:r>
      <w:r>
        <w:t>.</w:t>
      </w:r>
    </w:p>
    <w:p w14:paraId="2BB170C5" w14:textId="2F36188F" w:rsidR="000D1171" w:rsidRPr="000D1171" w:rsidRDefault="000D1171" w:rsidP="000D1171">
      <w:pPr>
        <w:pStyle w:val="TableParagraph"/>
        <w:numPr>
          <w:ilvl w:val="1"/>
          <w:numId w:val="3"/>
        </w:numPr>
        <w:rPr>
          <w:rFonts w:asciiTheme="minorHAnsi" w:eastAsia="Times New Roman" w:hAnsiTheme="minorHAnsi" w:cstheme="minorHAnsi"/>
          <w:color w:val="FF0000"/>
        </w:rPr>
      </w:pPr>
      <w:r w:rsidRPr="000D1171">
        <w:rPr>
          <w:color w:val="FF0000"/>
        </w:rPr>
        <w:t>Approved</w:t>
      </w:r>
    </w:p>
    <w:p w14:paraId="5308A023" w14:textId="294B1020" w:rsidR="000D1171" w:rsidRPr="000D1171" w:rsidRDefault="000D1171" w:rsidP="000D1171">
      <w:pPr>
        <w:pStyle w:val="TableParagraph"/>
        <w:numPr>
          <w:ilvl w:val="0"/>
          <w:numId w:val="3"/>
        </w:numPr>
        <w:rPr>
          <w:rFonts w:asciiTheme="minorHAnsi" w:eastAsia="Times New Roman" w:hAnsiTheme="minorHAnsi" w:cstheme="minorHAnsi"/>
          <w:color w:val="FF0000"/>
        </w:rPr>
      </w:pPr>
      <w:r w:rsidRPr="000D1171">
        <w:rPr>
          <w:bCs/>
        </w:rPr>
        <w:t>For the requested floorplan version of 24+2WC with FRONT lift, please accept a seating configuration of 23 seats due to limited floor spacing</w:t>
      </w:r>
      <w:r>
        <w:rPr>
          <w:b/>
        </w:rPr>
        <w:t>.</w:t>
      </w:r>
    </w:p>
    <w:p w14:paraId="19CD11E4" w14:textId="6C536D9B" w:rsidR="000D1171" w:rsidRPr="000D1171" w:rsidRDefault="000D1171" w:rsidP="000D1171">
      <w:pPr>
        <w:pStyle w:val="TableParagraph"/>
        <w:numPr>
          <w:ilvl w:val="1"/>
          <w:numId w:val="3"/>
        </w:numPr>
        <w:rPr>
          <w:rFonts w:asciiTheme="minorHAnsi" w:eastAsia="Times New Roman" w:hAnsiTheme="minorHAnsi" w:cstheme="minorHAnsi"/>
          <w:color w:val="FF0000"/>
        </w:rPr>
      </w:pPr>
      <w:r w:rsidRPr="000D1171">
        <w:rPr>
          <w:bCs/>
          <w:color w:val="FF0000"/>
        </w:rPr>
        <w:t>Will accept a floorplan for 23 + 2 in place of the 24 + 2</w:t>
      </w:r>
    </w:p>
    <w:p w14:paraId="4D5E171A" w14:textId="6684DFFF" w:rsidR="000D1171" w:rsidRPr="00317270" w:rsidRDefault="00317270" w:rsidP="000D1171">
      <w:pPr>
        <w:pStyle w:val="TableParagraph"/>
        <w:numPr>
          <w:ilvl w:val="0"/>
          <w:numId w:val="3"/>
        </w:numPr>
        <w:rPr>
          <w:rFonts w:asciiTheme="minorHAnsi" w:eastAsia="Times New Roman" w:hAnsiTheme="minorHAnsi" w:cstheme="minorHAnsi"/>
          <w:bCs/>
          <w:color w:val="FF0000"/>
        </w:rPr>
      </w:pPr>
      <w:r w:rsidRPr="00317270">
        <w:rPr>
          <w:bCs/>
        </w:rPr>
        <w:t>Please clarify if prices are firm for the contract or if increases will be considered</w:t>
      </w:r>
    </w:p>
    <w:p w14:paraId="5B347AD4" w14:textId="612AB63D" w:rsidR="00317270" w:rsidRPr="00434947" w:rsidRDefault="00317270" w:rsidP="00317270">
      <w:pPr>
        <w:pStyle w:val="TableParagraph"/>
        <w:numPr>
          <w:ilvl w:val="1"/>
          <w:numId w:val="3"/>
        </w:numPr>
        <w:rPr>
          <w:rFonts w:asciiTheme="minorHAnsi" w:eastAsia="Times New Roman" w:hAnsiTheme="minorHAnsi" w:cstheme="minorHAnsi"/>
          <w:bCs/>
          <w:color w:val="FF0000"/>
        </w:rPr>
      </w:pPr>
      <w:r w:rsidRPr="00434947">
        <w:rPr>
          <w:bCs/>
          <w:color w:val="FF0000"/>
        </w:rPr>
        <w:t xml:space="preserve">Price increase will be considered after 180 days if required documentation </w:t>
      </w:r>
      <w:r w:rsidR="00434947">
        <w:rPr>
          <w:bCs/>
          <w:color w:val="FF0000"/>
        </w:rPr>
        <w:t>accompanies</w:t>
      </w:r>
      <w:r w:rsidR="00434947" w:rsidRPr="00434947">
        <w:rPr>
          <w:bCs/>
          <w:color w:val="FF0000"/>
        </w:rPr>
        <w:t xml:space="preserve"> the request.</w:t>
      </w:r>
    </w:p>
    <w:p w14:paraId="0FF87E8E" w14:textId="1C087314" w:rsidR="00434947" w:rsidRPr="00434947" w:rsidRDefault="00434947" w:rsidP="00EA4A8A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434947">
        <w:rPr>
          <w:bCs/>
        </w:rPr>
        <w:t>The rear roof-mounted evaporator shall be wired so it does not function when the factory windshield defrost in the driver's compartment is on.</w:t>
      </w:r>
    </w:p>
    <w:p w14:paraId="3697C4A0" w14:textId="57378711" w:rsidR="00434947" w:rsidRPr="00434947" w:rsidRDefault="00434947" w:rsidP="00434947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434947">
        <w:rPr>
          <w:bCs/>
          <w:color w:val="FF0000"/>
        </w:rPr>
        <w:t xml:space="preserve">Confirming the request   </w:t>
      </w:r>
    </w:p>
    <w:p w14:paraId="2A4CB7EB" w14:textId="511ABF9F" w:rsidR="00434947" w:rsidRPr="00434947" w:rsidRDefault="00434947" w:rsidP="00434947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434947">
        <w:rPr>
          <w:bCs/>
        </w:rPr>
        <w:t>Please accept powder coating as a form of rustproofing. Powder coating provides excellent corrosion resistance and rustproofing.</w:t>
      </w:r>
    </w:p>
    <w:p w14:paraId="576412E6" w14:textId="2985A5DB" w:rsidR="00434947" w:rsidRPr="00434947" w:rsidRDefault="00434947" w:rsidP="00434947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434947">
        <w:rPr>
          <w:bCs/>
          <w:color w:val="FF0000"/>
        </w:rPr>
        <w:t>Approved</w:t>
      </w:r>
    </w:p>
    <w:p w14:paraId="20BDF346" w14:textId="2AC615EC" w:rsidR="00434947" w:rsidRPr="004F71EA" w:rsidRDefault="00434947" w:rsidP="00434947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434947">
        <w:rPr>
          <w:bCs/>
        </w:rPr>
        <w:t>Please clarify if the intent is the OEM front bumper or an aftermarket front bumper.</w:t>
      </w:r>
    </w:p>
    <w:p w14:paraId="3061613A" w14:textId="297C92E1" w:rsidR="004F71EA" w:rsidRPr="004F71EA" w:rsidRDefault="004F71EA" w:rsidP="004F71EA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4F71EA">
        <w:rPr>
          <w:bCs/>
          <w:color w:val="FF0000"/>
        </w:rPr>
        <w:t>The intent is the OEM front bumper</w:t>
      </w:r>
    </w:p>
    <w:p w14:paraId="5A2FB0D6" w14:textId="461A8A05" w:rsidR="004F71EA" w:rsidRPr="004F71EA" w:rsidRDefault="004F71EA" w:rsidP="004F71EA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4F71EA">
        <w:rPr>
          <w:bCs/>
        </w:rPr>
        <w:t xml:space="preserve">Please allow aluminum or black rubber </w:t>
      </w:r>
      <w:proofErr w:type="spellStart"/>
      <w:r w:rsidRPr="004F71EA">
        <w:rPr>
          <w:bCs/>
        </w:rPr>
        <w:t>fenderettes</w:t>
      </w:r>
      <w:proofErr w:type="spellEnd"/>
      <w:r w:rsidRPr="004F71EA">
        <w:rPr>
          <w:bCs/>
        </w:rPr>
        <w:t>.</w:t>
      </w:r>
    </w:p>
    <w:p w14:paraId="67E8CAF1" w14:textId="2DF91E9A" w:rsidR="004F71EA" w:rsidRPr="004F71EA" w:rsidRDefault="004F71EA" w:rsidP="004F71EA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4F71EA">
        <w:rPr>
          <w:bCs/>
          <w:color w:val="FF0000"/>
        </w:rPr>
        <w:t>Approved</w:t>
      </w:r>
    </w:p>
    <w:p w14:paraId="32D9AF8C" w14:textId="5FA60142" w:rsidR="004F71EA" w:rsidRPr="004F71EA" w:rsidRDefault="004F71EA" w:rsidP="004F71EA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4F71EA">
        <w:rPr>
          <w:bCs/>
        </w:rPr>
        <w:t>Please allow a raised floor with a step up behind the driver.  This would provide a completely flat floor for the entire passenger area of the vehicle and allows for easier driver movement into the entry area.</w:t>
      </w:r>
    </w:p>
    <w:p w14:paraId="7F527794" w14:textId="7C8BF227" w:rsidR="004F71EA" w:rsidRPr="004F71EA" w:rsidRDefault="004F71EA" w:rsidP="004F71EA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4F71EA">
        <w:rPr>
          <w:bCs/>
          <w:color w:val="FF0000"/>
        </w:rPr>
        <w:t>Approved</w:t>
      </w:r>
    </w:p>
    <w:p w14:paraId="67495FC6" w14:textId="381E7691" w:rsidR="004F71EA" w:rsidRPr="004F71EA" w:rsidRDefault="004F71EA" w:rsidP="004F71EA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4F71EA">
        <w:rPr>
          <w:bCs/>
        </w:rPr>
        <w:t xml:space="preserve">Please clarify if a 5th track is required on the base builds or </w:t>
      </w:r>
      <w:r>
        <w:rPr>
          <w:bCs/>
        </w:rPr>
        <w:t xml:space="preserve">if </w:t>
      </w:r>
      <w:r w:rsidRPr="004F71EA">
        <w:rPr>
          <w:bCs/>
        </w:rPr>
        <w:t>clarification on the center piece</w:t>
      </w:r>
    </w:p>
    <w:p w14:paraId="2E323727" w14:textId="3DAA8CE3" w:rsidR="004F71EA" w:rsidRPr="004F71EA" w:rsidRDefault="004F71EA" w:rsidP="004F71EA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4F71EA">
        <w:rPr>
          <w:bCs/>
          <w:color w:val="FF0000"/>
        </w:rPr>
        <w:t xml:space="preserve">Only </w:t>
      </w:r>
      <w:r>
        <w:rPr>
          <w:bCs/>
          <w:color w:val="FF0000"/>
        </w:rPr>
        <w:t>four L tracks are required—one down the center must be removed. A fifth</w:t>
      </w:r>
      <w:r w:rsidRPr="004F71EA">
        <w:rPr>
          <w:bCs/>
          <w:color w:val="FF0000"/>
        </w:rPr>
        <w:t xml:space="preserve"> L track is an option.</w:t>
      </w:r>
    </w:p>
    <w:p w14:paraId="749ABCD4" w14:textId="2DB7048C" w:rsidR="004F71EA" w:rsidRPr="00910F83" w:rsidRDefault="00295B16" w:rsidP="004F71EA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910F83">
        <w:rPr>
          <w:bCs/>
        </w:rPr>
        <w:t>Please clarify if this is to be provided with responses or with delivered vehicles</w:t>
      </w:r>
    </w:p>
    <w:p w14:paraId="5BCB56C9" w14:textId="6D06AE9D" w:rsidR="00295B16" w:rsidRPr="00295B16" w:rsidRDefault="00295B16" w:rsidP="00295B16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295B16">
        <w:rPr>
          <w:b/>
          <w:color w:val="FF0000"/>
        </w:rPr>
        <w:t>The video is required when the vehicle delivered</w:t>
      </w:r>
    </w:p>
    <w:p w14:paraId="464AFF80" w14:textId="06D2012B" w:rsidR="00295B16" w:rsidRPr="00910F83" w:rsidRDefault="00910F83" w:rsidP="00295B16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910F83">
        <w:rPr>
          <w:bCs/>
        </w:rPr>
        <w:t xml:space="preserve">Please approve a unit from </w:t>
      </w:r>
      <w:proofErr w:type="spellStart"/>
      <w:r w:rsidRPr="00910F83">
        <w:rPr>
          <w:bCs/>
        </w:rPr>
        <w:t>Q'Straint</w:t>
      </w:r>
      <w:proofErr w:type="spellEnd"/>
      <w:r w:rsidRPr="00910F83">
        <w:rPr>
          <w:bCs/>
        </w:rPr>
        <w:t xml:space="preserve"> as approved equal</w:t>
      </w:r>
      <w:r>
        <w:rPr>
          <w:bCs/>
        </w:rPr>
        <w:t>.</w:t>
      </w:r>
    </w:p>
    <w:p w14:paraId="6CA17092" w14:textId="2DC3C17E" w:rsidR="00910F83" w:rsidRPr="00910F83" w:rsidRDefault="00910F83" w:rsidP="00910F83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910F83">
        <w:rPr>
          <w:bCs/>
          <w:color w:val="FF0000"/>
        </w:rPr>
        <w:t>Approved</w:t>
      </w:r>
    </w:p>
    <w:p w14:paraId="1A7260B1" w14:textId="5F0C7CDD" w:rsidR="00910F83" w:rsidRPr="00910F83" w:rsidRDefault="00910F83" w:rsidP="00910F83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910F83">
        <w:rPr>
          <w:bCs/>
        </w:rPr>
        <w:t xml:space="preserve">Please allow a raised floor with a smaller </w:t>
      </w:r>
      <w:r>
        <w:rPr>
          <w:bCs/>
        </w:rPr>
        <w:t>step-up</w:t>
      </w:r>
      <w:r w:rsidRPr="00910F83">
        <w:rPr>
          <w:bCs/>
        </w:rPr>
        <w:t xml:space="preserve"> behind the driver.  </w:t>
      </w:r>
    </w:p>
    <w:p w14:paraId="1FB39781" w14:textId="55849723" w:rsidR="00910F83" w:rsidRDefault="00910F83" w:rsidP="00910F83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>Approved</w:t>
      </w:r>
    </w:p>
    <w:p w14:paraId="6E8FB3C7" w14:textId="0F414E90" w:rsidR="00910F83" w:rsidRDefault="00910F83" w:rsidP="00910F83">
      <w:pPr>
        <w:pStyle w:val="Tabletext"/>
        <w:rPr>
          <w:b/>
        </w:rPr>
      </w:pPr>
      <w:r>
        <w:rPr>
          <w:b/>
        </w:rPr>
        <w:t xml:space="preserve">.  </w:t>
      </w:r>
    </w:p>
    <w:p w14:paraId="560D6FE4" w14:textId="2BB5D661" w:rsidR="00910F83" w:rsidRPr="00910F83" w:rsidRDefault="00910F83" w:rsidP="00910F83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910F83">
        <w:rPr>
          <w:bCs/>
        </w:rPr>
        <w:t>Detailed wiring schematic for chassis, as well as the vehicle body, shall be provided    Please remove the chassis portion of this requirement.</w:t>
      </w:r>
    </w:p>
    <w:p w14:paraId="3E4CDB63" w14:textId="690F1112" w:rsidR="00910F83" w:rsidRPr="00910F83" w:rsidRDefault="00910F83" w:rsidP="00910F83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910F83">
        <w:rPr>
          <w:bCs/>
          <w:color w:val="FF0000"/>
        </w:rPr>
        <w:t xml:space="preserve">The chassis portion will not be required </w:t>
      </w:r>
    </w:p>
    <w:p w14:paraId="3D14D024" w14:textId="64560B42" w:rsidR="00910F83" w:rsidRPr="00910F83" w:rsidRDefault="00910F83" w:rsidP="00910F83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910F83">
        <w:rPr>
          <w:bCs/>
        </w:rPr>
        <w:t xml:space="preserve">Please approve </w:t>
      </w:r>
      <w:proofErr w:type="spellStart"/>
      <w:r w:rsidRPr="00910F83">
        <w:rPr>
          <w:bCs/>
        </w:rPr>
        <w:t>Intermotive</w:t>
      </w:r>
      <w:proofErr w:type="spellEnd"/>
      <w:r w:rsidRPr="00910F83">
        <w:rPr>
          <w:bCs/>
        </w:rPr>
        <w:t xml:space="preserve"> electrical panels. </w:t>
      </w:r>
      <w:proofErr w:type="spellStart"/>
      <w:r w:rsidRPr="00910F83">
        <w:rPr>
          <w:bCs/>
        </w:rPr>
        <w:t>Intermotive</w:t>
      </w:r>
      <w:proofErr w:type="spellEnd"/>
      <w:r w:rsidRPr="00910F83">
        <w:rPr>
          <w:bCs/>
        </w:rPr>
        <w:t xml:space="preserve"> is widely used in the shuttle bus industry.</w:t>
      </w:r>
    </w:p>
    <w:p w14:paraId="6FAF971C" w14:textId="1D187E7F" w:rsidR="00910F83" w:rsidRPr="00910F83" w:rsidRDefault="00910F83" w:rsidP="00910F83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910F83">
        <w:rPr>
          <w:bCs/>
          <w:color w:val="FF0000"/>
        </w:rPr>
        <w:t>Approved</w:t>
      </w:r>
    </w:p>
    <w:p w14:paraId="1CF2DB96" w14:textId="30989A26" w:rsidR="00910F83" w:rsidRPr="00910F83" w:rsidRDefault="00910F83" w:rsidP="00910F83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910F83">
        <w:rPr>
          <w:bCs/>
        </w:rPr>
        <w:t>Please accept manuals and service information available online. Ford no longer provides paper or electronic manuals, but all information is available through Ford Connected Services</w:t>
      </w:r>
      <w:r w:rsidRPr="0055509D">
        <w:rPr>
          <w:b/>
        </w:rPr>
        <w:t>.</w:t>
      </w:r>
    </w:p>
    <w:p w14:paraId="5CD773B8" w14:textId="757F79AA" w:rsidR="00910F83" w:rsidRPr="00BE2D01" w:rsidRDefault="00BE2D01" w:rsidP="00910F83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BE2D01">
        <w:rPr>
          <w:bCs/>
          <w:color w:val="FF0000"/>
        </w:rPr>
        <w:t>Approved</w:t>
      </w:r>
    </w:p>
    <w:p w14:paraId="502E2053" w14:textId="56F52F7D" w:rsidR="00BE2D01" w:rsidRPr="00BE2D01" w:rsidRDefault="00BE2D01" w:rsidP="00BE2D01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BE2D01">
        <w:rPr>
          <w:bCs/>
        </w:rPr>
        <w:t xml:space="preserve">Please accept remote training and demonstrations. Truck drivers are not familiar with the operation of buses.  </w:t>
      </w:r>
    </w:p>
    <w:p w14:paraId="00BD129B" w14:textId="18D69C3F" w:rsidR="00BE2D01" w:rsidRPr="00BE2D01" w:rsidRDefault="00BE2D01" w:rsidP="00BE2D01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BE2D01">
        <w:rPr>
          <w:bCs/>
          <w:color w:val="FF0000"/>
        </w:rPr>
        <w:t>Approved</w:t>
      </w:r>
    </w:p>
    <w:p w14:paraId="1380368F" w14:textId="1830DAFB" w:rsidR="00BE2D01" w:rsidRPr="00BE2D01" w:rsidRDefault="00BE2D01" w:rsidP="00BE2D01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BE2D01">
        <w:rPr>
          <w:bCs/>
        </w:rPr>
        <w:t xml:space="preserve">Please allow a temporary plate from the state the dealer is located in. Per conversations with SD DOR, SD </w:t>
      </w:r>
      <w:r w:rsidRPr="00BE2D01">
        <w:rPr>
          <w:bCs/>
        </w:rPr>
        <w:lastRenderedPageBreak/>
        <w:t>Temporary plates are not available to out of state dealers and a temporary plate should be provided by the state of the dealer</w:t>
      </w:r>
      <w:r>
        <w:rPr>
          <w:bCs/>
        </w:rPr>
        <w:t>.</w:t>
      </w:r>
    </w:p>
    <w:p w14:paraId="2D93F149" w14:textId="3D7F397E" w:rsidR="00BE2D01" w:rsidRPr="00BE2D01" w:rsidRDefault="00BE2D01" w:rsidP="00BE2D01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BE2D01">
        <w:rPr>
          <w:bCs/>
          <w:color w:val="FF0000"/>
        </w:rPr>
        <w:t>Approved</w:t>
      </w:r>
    </w:p>
    <w:p w14:paraId="661BA316" w14:textId="747FDC54" w:rsidR="00BE2D01" w:rsidRPr="00BE2D01" w:rsidRDefault="00BE2D01" w:rsidP="00BE2D01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BE2D01">
        <w:rPr>
          <w:bCs/>
        </w:rPr>
        <w:t>Please remove "title" from this requirement.  Titles are typically held by dealers until payment in full is received.  Title will be mailed overnight upon payment in full.</w:t>
      </w:r>
    </w:p>
    <w:p w14:paraId="13E93384" w14:textId="60685AB4" w:rsidR="00BE2D01" w:rsidRPr="00BE2D01" w:rsidRDefault="00BE2D01" w:rsidP="00BE2D01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</w:rPr>
      </w:pPr>
      <w:r w:rsidRPr="00BE2D01">
        <w:rPr>
          <w:bCs/>
          <w:color w:val="FF0000"/>
        </w:rPr>
        <w:t>Approved</w:t>
      </w:r>
    </w:p>
    <w:p w14:paraId="45D827BE" w14:textId="565E38D6" w:rsidR="00BE2D01" w:rsidRPr="004A5A45" w:rsidRDefault="00A07279" w:rsidP="00BE2D01">
      <w:pPr>
        <w:pStyle w:val="Tabletext"/>
        <w:numPr>
          <w:ilvl w:val="0"/>
          <w:numId w:val="3"/>
        </w:numPr>
        <w:rPr>
          <w:rFonts w:asciiTheme="minorHAnsi" w:hAnsiTheme="minorHAnsi" w:cstheme="minorHAnsi"/>
          <w:bCs/>
          <w:color w:val="FF0000"/>
        </w:rPr>
      </w:pPr>
      <w:r w:rsidRPr="004A5A45">
        <w:rPr>
          <w:bCs/>
        </w:rPr>
        <w:t>Please change "must begin" to "must arrange" Timing is subject to availability at the repair facility and beyond the control of the dealer.</w:t>
      </w:r>
    </w:p>
    <w:p w14:paraId="709F87BB" w14:textId="1FEE8A4E" w:rsidR="004A5A45" w:rsidRDefault="004A5A45" w:rsidP="004A5A45">
      <w:pPr>
        <w:pStyle w:val="Tabletext"/>
        <w:numPr>
          <w:ilvl w:val="1"/>
          <w:numId w:val="3"/>
        </w:num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4A5A45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SDDOT will accept 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the </w:t>
      </w:r>
      <w:r w:rsidR="001E1CBA">
        <w:rPr>
          <w:rFonts w:asciiTheme="minorHAnsi" w:hAnsiTheme="minorHAnsi" w:cstheme="minorHAnsi"/>
          <w:bCs/>
          <w:color w:val="FF0000"/>
          <w:sz w:val="22"/>
          <w:szCs w:val="22"/>
        </w:rPr>
        <w:t>wording chang</w:t>
      </w:r>
      <w:r w:rsidR="009128CB">
        <w:rPr>
          <w:rFonts w:asciiTheme="minorHAnsi" w:hAnsiTheme="minorHAnsi" w:cstheme="minorHAnsi"/>
          <w:bCs/>
          <w:color w:val="FF0000"/>
          <w:sz w:val="22"/>
          <w:szCs w:val="22"/>
        </w:rPr>
        <w:t>e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9128CB">
        <w:rPr>
          <w:rFonts w:asciiTheme="minorHAnsi" w:hAnsiTheme="minorHAnsi" w:cstheme="minorHAnsi"/>
          <w:bCs/>
          <w:color w:val="FF0000"/>
          <w:sz w:val="22"/>
          <w:szCs w:val="22"/>
        </w:rPr>
        <w:t>t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o “must begin” 6 days.</w:t>
      </w:r>
    </w:p>
    <w:p w14:paraId="067F85F6" w14:textId="39F4A080" w:rsidR="009128CB" w:rsidRPr="009128CB" w:rsidRDefault="009128CB" w:rsidP="00675FCA">
      <w:pPr>
        <w:pStyle w:val="Tabletext"/>
        <w:numPr>
          <w:ilvl w:val="0"/>
          <w:numId w:val="3"/>
        </w:numPr>
        <w:rPr>
          <w:bCs/>
        </w:rPr>
      </w:pPr>
      <w:r w:rsidRPr="009128CB">
        <w:rPr>
          <w:bCs/>
        </w:rPr>
        <w:t xml:space="preserve">The vendor must rectify vehicle issues relating to warranty work within 14 business days of the start of work. Please remove this requirement. If </w:t>
      </w:r>
      <w:r>
        <w:rPr>
          <w:bCs/>
        </w:rPr>
        <w:t>a vehicle is taken to Ford for OEM Warranty repairs (for example), this is beyond the vendor's control</w:t>
      </w:r>
      <w:r w:rsidRPr="009128CB">
        <w:rPr>
          <w:bCs/>
        </w:rPr>
        <w:t>.</w:t>
      </w:r>
    </w:p>
    <w:p w14:paraId="26D580DC" w14:textId="424BE896" w:rsidR="009128CB" w:rsidRPr="00675FCA" w:rsidRDefault="009128CB" w:rsidP="009128CB">
      <w:pPr>
        <w:pStyle w:val="Tabletext"/>
        <w:numPr>
          <w:ilvl w:val="1"/>
          <w:numId w:val="8"/>
        </w:numPr>
        <w:rPr>
          <w:bCs/>
          <w:color w:val="FF0000"/>
        </w:rPr>
      </w:pPr>
      <w:r>
        <w:rPr>
          <w:color w:val="FF0000"/>
        </w:rPr>
        <w:t>SDDOT will add the following wording to the RFP</w:t>
      </w:r>
      <w:r w:rsidR="00675FCA">
        <w:rPr>
          <w:color w:val="FF0000"/>
        </w:rPr>
        <w:t>:</w:t>
      </w:r>
      <w:r>
        <w:rPr>
          <w:color w:val="FF0000"/>
        </w:rPr>
        <w:t xml:space="preserve"> “</w:t>
      </w:r>
      <w:bookmarkStart w:id="0" w:name="_Hlk195190960"/>
      <w:r w:rsidRPr="009128CB">
        <w:rPr>
          <w:color w:val="FF0000"/>
        </w:rPr>
        <w:t>subject to parts availability and manufacturer response times. The vendor shall provide written notice if delays are anticipated</w:t>
      </w:r>
      <w:bookmarkEnd w:id="0"/>
      <w:r w:rsidR="00675FCA">
        <w:rPr>
          <w:color w:val="FF0000"/>
        </w:rPr>
        <w:t>.</w:t>
      </w:r>
      <w:r>
        <w:rPr>
          <w:color w:val="FF0000"/>
        </w:rPr>
        <w:t>”</w:t>
      </w:r>
    </w:p>
    <w:p w14:paraId="12D02681" w14:textId="29FF9E19" w:rsidR="00675FCA" w:rsidRDefault="00675FCA" w:rsidP="00675FCA">
      <w:pPr>
        <w:pStyle w:val="Tabletext"/>
        <w:numPr>
          <w:ilvl w:val="0"/>
          <w:numId w:val="3"/>
        </w:numPr>
        <w:rPr>
          <w:bCs/>
        </w:rPr>
      </w:pPr>
      <w:r w:rsidRPr="00675FCA">
        <w:rPr>
          <w:bCs/>
        </w:rPr>
        <w:t>Pre-Award Buy America Certification, Pre-Award Buy America Certificate of Non-Compliance, pre-Award FMVSS Compliance Certification, Pre-Award Certification of FMVSS Inapplicability, Pre-Award Purchaser's Requirements Certification</w:t>
      </w:r>
      <w:r>
        <w:rPr>
          <w:bCs/>
        </w:rPr>
        <w:t xml:space="preserve">. </w:t>
      </w:r>
      <w:r w:rsidRPr="00675FCA">
        <w:rPr>
          <w:bCs/>
        </w:rPr>
        <w:t xml:space="preserve">Please clarify if any action is needed on </w:t>
      </w:r>
      <w:r w:rsidR="00FE2382">
        <w:rPr>
          <w:bCs/>
        </w:rPr>
        <w:t xml:space="preserve">the </w:t>
      </w:r>
      <w:r w:rsidRPr="00675FCA">
        <w:rPr>
          <w:bCs/>
        </w:rPr>
        <w:t>part of the bidder</w:t>
      </w:r>
    </w:p>
    <w:p w14:paraId="586EB2E1" w14:textId="0F392356" w:rsidR="00675FCA" w:rsidRDefault="00FE2382" w:rsidP="00675FCA">
      <w:pPr>
        <w:pStyle w:val="Tabletext"/>
        <w:numPr>
          <w:ilvl w:val="1"/>
          <w:numId w:val="3"/>
        </w:numPr>
        <w:rPr>
          <w:bCs/>
          <w:color w:val="FF0000"/>
        </w:rPr>
      </w:pPr>
      <w:r>
        <w:rPr>
          <w:bCs/>
          <w:color w:val="FF0000"/>
        </w:rPr>
        <w:t>The proposer needs no action.</w:t>
      </w:r>
    </w:p>
    <w:p w14:paraId="58092F8D" w14:textId="4242D580" w:rsidR="002137FE" w:rsidRDefault="002137FE" w:rsidP="002137FE">
      <w:pPr>
        <w:pStyle w:val="Tabletext"/>
        <w:numPr>
          <w:ilvl w:val="0"/>
          <w:numId w:val="3"/>
        </w:numPr>
        <w:rPr>
          <w:bCs/>
        </w:rPr>
      </w:pPr>
      <w:r w:rsidRPr="002137FE">
        <w:rPr>
          <w:bCs/>
        </w:rPr>
        <w:t>On-Site Manufacturer Inspection Compliance Certification. Please clarify if any action is needed on part of the bidder</w:t>
      </w:r>
      <w:r>
        <w:rPr>
          <w:bCs/>
        </w:rPr>
        <w:t>.</w:t>
      </w:r>
    </w:p>
    <w:p w14:paraId="7FECA143" w14:textId="77777777" w:rsidR="002137FE" w:rsidRDefault="002137FE" w:rsidP="002137FE">
      <w:pPr>
        <w:pStyle w:val="Tabletext"/>
        <w:numPr>
          <w:ilvl w:val="1"/>
          <w:numId w:val="3"/>
        </w:numPr>
        <w:rPr>
          <w:bCs/>
          <w:color w:val="FF0000"/>
        </w:rPr>
      </w:pPr>
      <w:r>
        <w:rPr>
          <w:bCs/>
          <w:color w:val="FF0000"/>
        </w:rPr>
        <w:t>The proposer needs no action.</w:t>
      </w:r>
    </w:p>
    <w:p w14:paraId="6CB89A3C" w14:textId="66FE60D5" w:rsidR="004C041C" w:rsidRDefault="00341461" w:rsidP="004C041C">
      <w:pPr>
        <w:pStyle w:val="Tabletext"/>
        <w:numPr>
          <w:ilvl w:val="0"/>
          <w:numId w:val="3"/>
        </w:numPr>
        <w:rPr>
          <w:bCs/>
        </w:rPr>
      </w:pPr>
      <w:r w:rsidRPr="00341461">
        <w:rPr>
          <w:bCs/>
        </w:rPr>
        <w:t xml:space="preserve">Please confirm if a configuration for a 16 + 2 front lift is requested. It is missing in section 1.2 and on the scope of work on page 8 but included on page 15 under #3 Scope of work and on page 17 under the list of option vehicle quantities. </w:t>
      </w:r>
    </w:p>
    <w:p w14:paraId="4D9599B2" w14:textId="57816DD8" w:rsidR="00341461" w:rsidRPr="00341461" w:rsidRDefault="00341461" w:rsidP="00341461">
      <w:pPr>
        <w:pStyle w:val="Tabletext"/>
        <w:numPr>
          <w:ilvl w:val="1"/>
          <w:numId w:val="3"/>
        </w:numPr>
        <w:rPr>
          <w:bCs/>
          <w:color w:val="FF0000"/>
        </w:rPr>
      </w:pPr>
      <w:r w:rsidRPr="00341461">
        <w:rPr>
          <w:bCs/>
          <w:color w:val="FF0000"/>
        </w:rPr>
        <w:t>16 + 2 front lift is a requested configuration and should be in section 1.2 and on page 8 and 17.</w:t>
      </w:r>
    </w:p>
    <w:p w14:paraId="4BC528DF" w14:textId="5661CD7F" w:rsidR="00E756CD" w:rsidRPr="00341461" w:rsidRDefault="00E756CD" w:rsidP="00E756CD">
      <w:pPr>
        <w:pStyle w:val="TableParagraph"/>
        <w:rPr>
          <w:rFonts w:ascii="Arial" w:eastAsia="Times New Roman" w:hAnsi="Arial" w:cs="Arial"/>
          <w:bCs/>
        </w:rPr>
      </w:pPr>
    </w:p>
    <w:p w14:paraId="7A3E0FCC" w14:textId="77777777" w:rsidR="00E756CD" w:rsidRPr="00E756CD" w:rsidRDefault="00E756CD" w:rsidP="00E756CD">
      <w:pPr>
        <w:pStyle w:val="TableParagraph"/>
        <w:rPr>
          <w:rFonts w:eastAsia="Times New Roman" w:cstheme="minorHAnsi"/>
          <w:b/>
          <w:bCs/>
          <w:color w:val="FF0000"/>
          <w:sz w:val="20"/>
          <w:szCs w:val="24"/>
        </w:rPr>
      </w:pPr>
    </w:p>
    <w:p w14:paraId="14F84EFD" w14:textId="77777777" w:rsidR="00E756CD" w:rsidRPr="00E756CD" w:rsidRDefault="00E756CD" w:rsidP="00E756CD">
      <w:pPr>
        <w:pStyle w:val="TableParagraph"/>
        <w:ind w:left="1440"/>
        <w:rPr>
          <w:rFonts w:eastAsia="Times New Roman" w:cstheme="minorHAnsi"/>
          <w:b/>
          <w:bCs/>
          <w:color w:val="FF0000"/>
          <w:sz w:val="20"/>
          <w:szCs w:val="24"/>
        </w:rPr>
      </w:pPr>
    </w:p>
    <w:sectPr w:rsidR="00E756CD" w:rsidRPr="00E756CD" w:rsidSect="001C0596"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1CB6" w14:textId="77777777" w:rsidR="008018F8" w:rsidRDefault="008018F8" w:rsidP="0051236A">
      <w:pPr>
        <w:spacing w:after="0" w:line="240" w:lineRule="auto"/>
      </w:pPr>
      <w:r>
        <w:separator/>
      </w:r>
    </w:p>
  </w:endnote>
  <w:endnote w:type="continuationSeparator" w:id="0">
    <w:p w14:paraId="698C7BFA" w14:textId="77777777" w:rsidR="008018F8" w:rsidRDefault="008018F8" w:rsidP="0051236A">
      <w:pPr>
        <w:spacing w:after="0" w:line="240" w:lineRule="auto"/>
      </w:pPr>
      <w:r>
        <w:continuationSeparator/>
      </w:r>
    </w:p>
  </w:endnote>
  <w:endnote w:type="continuationNotice" w:id="1">
    <w:p w14:paraId="5450EF8D" w14:textId="77777777" w:rsidR="008018F8" w:rsidRDefault="008018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2284" w14:textId="77777777" w:rsidR="008018F8" w:rsidRDefault="008018F8" w:rsidP="0051236A">
      <w:pPr>
        <w:spacing w:after="0" w:line="240" w:lineRule="auto"/>
      </w:pPr>
      <w:r>
        <w:separator/>
      </w:r>
    </w:p>
  </w:footnote>
  <w:footnote w:type="continuationSeparator" w:id="0">
    <w:p w14:paraId="03D34E40" w14:textId="77777777" w:rsidR="008018F8" w:rsidRDefault="008018F8" w:rsidP="0051236A">
      <w:pPr>
        <w:spacing w:after="0" w:line="240" w:lineRule="auto"/>
      </w:pPr>
      <w:r>
        <w:continuationSeparator/>
      </w:r>
    </w:p>
  </w:footnote>
  <w:footnote w:type="continuationNotice" w:id="1">
    <w:p w14:paraId="72D0475B" w14:textId="77777777" w:rsidR="008018F8" w:rsidRDefault="008018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2C7"/>
    <w:multiLevelType w:val="hybridMultilevel"/>
    <w:tmpl w:val="2CFE8A16"/>
    <w:lvl w:ilvl="0" w:tplc="1B2A97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A3233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203E"/>
    <w:multiLevelType w:val="hybridMultilevel"/>
    <w:tmpl w:val="9FACF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C70A4"/>
    <w:multiLevelType w:val="hybridMultilevel"/>
    <w:tmpl w:val="2AF2027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31FF"/>
    <w:multiLevelType w:val="hybridMultilevel"/>
    <w:tmpl w:val="930E1AEA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36A76DB1"/>
    <w:multiLevelType w:val="hybridMultilevel"/>
    <w:tmpl w:val="6F3A6EF4"/>
    <w:lvl w:ilvl="0" w:tplc="22766E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51323"/>
    <w:multiLevelType w:val="hybridMultilevel"/>
    <w:tmpl w:val="2AF2027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627E6"/>
    <w:multiLevelType w:val="hybridMultilevel"/>
    <w:tmpl w:val="6F3A6E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F3EB6"/>
    <w:multiLevelType w:val="hybridMultilevel"/>
    <w:tmpl w:val="76365AF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567749">
    <w:abstractNumId w:val="4"/>
  </w:num>
  <w:num w:numId="2" w16cid:durableId="1737439579">
    <w:abstractNumId w:val="6"/>
  </w:num>
  <w:num w:numId="3" w16cid:durableId="1628967609">
    <w:abstractNumId w:val="0"/>
  </w:num>
  <w:num w:numId="4" w16cid:durableId="754009762">
    <w:abstractNumId w:val="1"/>
  </w:num>
  <w:num w:numId="5" w16cid:durableId="200559682">
    <w:abstractNumId w:val="2"/>
  </w:num>
  <w:num w:numId="6" w16cid:durableId="1729108192">
    <w:abstractNumId w:val="5"/>
  </w:num>
  <w:num w:numId="7" w16cid:durableId="2140760241">
    <w:abstractNumId w:val="3"/>
  </w:num>
  <w:num w:numId="8" w16cid:durableId="170146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6A"/>
    <w:rsid w:val="00001F17"/>
    <w:rsid w:val="0000375E"/>
    <w:rsid w:val="000063FE"/>
    <w:rsid w:val="00020419"/>
    <w:rsid w:val="00022400"/>
    <w:rsid w:val="00033350"/>
    <w:rsid w:val="00036292"/>
    <w:rsid w:val="0004283E"/>
    <w:rsid w:val="00042F39"/>
    <w:rsid w:val="00057371"/>
    <w:rsid w:val="00063587"/>
    <w:rsid w:val="0008203E"/>
    <w:rsid w:val="00082EC8"/>
    <w:rsid w:val="00087C03"/>
    <w:rsid w:val="00094830"/>
    <w:rsid w:val="00095912"/>
    <w:rsid w:val="00096272"/>
    <w:rsid w:val="00097D63"/>
    <w:rsid w:val="000B28F8"/>
    <w:rsid w:val="000B3C1D"/>
    <w:rsid w:val="000D1171"/>
    <w:rsid w:val="001016EB"/>
    <w:rsid w:val="001276C6"/>
    <w:rsid w:val="001320DD"/>
    <w:rsid w:val="0013465C"/>
    <w:rsid w:val="0013539B"/>
    <w:rsid w:val="00142D74"/>
    <w:rsid w:val="00143C23"/>
    <w:rsid w:val="0016212A"/>
    <w:rsid w:val="00173504"/>
    <w:rsid w:val="00174E4B"/>
    <w:rsid w:val="001834CF"/>
    <w:rsid w:val="00184EF6"/>
    <w:rsid w:val="00184FA7"/>
    <w:rsid w:val="00196CEC"/>
    <w:rsid w:val="001A0002"/>
    <w:rsid w:val="001A79E0"/>
    <w:rsid w:val="001B321A"/>
    <w:rsid w:val="001B74E7"/>
    <w:rsid w:val="001C0596"/>
    <w:rsid w:val="001D01E5"/>
    <w:rsid w:val="001D6FE7"/>
    <w:rsid w:val="001E1CBA"/>
    <w:rsid w:val="001F1B17"/>
    <w:rsid w:val="001F322E"/>
    <w:rsid w:val="00201427"/>
    <w:rsid w:val="00205F05"/>
    <w:rsid w:val="002137FE"/>
    <w:rsid w:val="00220A49"/>
    <w:rsid w:val="00220FB2"/>
    <w:rsid w:val="0022248E"/>
    <w:rsid w:val="0022383A"/>
    <w:rsid w:val="00225DEE"/>
    <w:rsid w:val="00233439"/>
    <w:rsid w:val="002434B5"/>
    <w:rsid w:val="00244873"/>
    <w:rsid w:val="00246F5D"/>
    <w:rsid w:val="0025144F"/>
    <w:rsid w:val="00255B51"/>
    <w:rsid w:val="00260793"/>
    <w:rsid w:val="00262E1F"/>
    <w:rsid w:val="002649BE"/>
    <w:rsid w:val="002659B9"/>
    <w:rsid w:val="00265AA5"/>
    <w:rsid w:val="00267B3C"/>
    <w:rsid w:val="00267C99"/>
    <w:rsid w:val="0027250C"/>
    <w:rsid w:val="00275E76"/>
    <w:rsid w:val="002766D4"/>
    <w:rsid w:val="00283F59"/>
    <w:rsid w:val="002904AE"/>
    <w:rsid w:val="00292066"/>
    <w:rsid w:val="00295B16"/>
    <w:rsid w:val="002A0700"/>
    <w:rsid w:val="002A0A54"/>
    <w:rsid w:val="002A6986"/>
    <w:rsid w:val="002B752A"/>
    <w:rsid w:val="002B7DEA"/>
    <w:rsid w:val="002E3D7E"/>
    <w:rsid w:val="002F1089"/>
    <w:rsid w:val="002F71A5"/>
    <w:rsid w:val="00315020"/>
    <w:rsid w:val="00317270"/>
    <w:rsid w:val="0032012F"/>
    <w:rsid w:val="00320342"/>
    <w:rsid w:val="003266A8"/>
    <w:rsid w:val="00326A67"/>
    <w:rsid w:val="00331BA6"/>
    <w:rsid w:val="00341461"/>
    <w:rsid w:val="00347B46"/>
    <w:rsid w:val="003642DA"/>
    <w:rsid w:val="00381B49"/>
    <w:rsid w:val="00384EB3"/>
    <w:rsid w:val="003935B2"/>
    <w:rsid w:val="003A05E0"/>
    <w:rsid w:val="003B411C"/>
    <w:rsid w:val="003B4C4B"/>
    <w:rsid w:val="003C3433"/>
    <w:rsid w:val="003D7139"/>
    <w:rsid w:val="003D71A5"/>
    <w:rsid w:val="003E40AF"/>
    <w:rsid w:val="003E5F24"/>
    <w:rsid w:val="003E7A41"/>
    <w:rsid w:val="003F2F77"/>
    <w:rsid w:val="00400A37"/>
    <w:rsid w:val="004034FE"/>
    <w:rsid w:val="0040781C"/>
    <w:rsid w:val="0041552C"/>
    <w:rsid w:val="004178F8"/>
    <w:rsid w:val="00434947"/>
    <w:rsid w:val="00445D1B"/>
    <w:rsid w:val="00445D95"/>
    <w:rsid w:val="00446787"/>
    <w:rsid w:val="004564C1"/>
    <w:rsid w:val="00461F05"/>
    <w:rsid w:val="00465D5A"/>
    <w:rsid w:val="00466420"/>
    <w:rsid w:val="00467C89"/>
    <w:rsid w:val="00490B49"/>
    <w:rsid w:val="00496148"/>
    <w:rsid w:val="004A5A45"/>
    <w:rsid w:val="004C041C"/>
    <w:rsid w:val="004C661C"/>
    <w:rsid w:val="004D0740"/>
    <w:rsid w:val="004D4561"/>
    <w:rsid w:val="004D4873"/>
    <w:rsid w:val="004D57AA"/>
    <w:rsid w:val="004F71EA"/>
    <w:rsid w:val="0051236A"/>
    <w:rsid w:val="00517281"/>
    <w:rsid w:val="005204C8"/>
    <w:rsid w:val="005265C1"/>
    <w:rsid w:val="0053199A"/>
    <w:rsid w:val="00536571"/>
    <w:rsid w:val="00544CF9"/>
    <w:rsid w:val="005465AC"/>
    <w:rsid w:val="00546DFE"/>
    <w:rsid w:val="00555BC9"/>
    <w:rsid w:val="00557BEE"/>
    <w:rsid w:val="00570436"/>
    <w:rsid w:val="0057062D"/>
    <w:rsid w:val="0057198F"/>
    <w:rsid w:val="00571EAE"/>
    <w:rsid w:val="005767B6"/>
    <w:rsid w:val="00577C35"/>
    <w:rsid w:val="00577EF2"/>
    <w:rsid w:val="005843D8"/>
    <w:rsid w:val="0059035B"/>
    <w:rsid w:val="00590BAC"/>
    <w:rsid w:val="005931AF"/>
    <w:rsid w:val="00597CAC"/>
    <w:rsid w:val="005A5E6D"/>
    <w:rsid w:val="005B2852"/>
    <w:rsid w:val="005C1B04"/>
    <w:rsid w:val="005C4AF8"/>
    <w:rsid w:val="005C534E"/>
    <w:rsid w:val="005C5BF2"/>
    <w:rsid w:val="005C7A18"/>
    <w:rsid w:val="005D6F97"/>
    <w:rsid w:val="005E2AEF"/>
    <w:rsid w:val="005E6885"/>
    <w:rsid w:val="005F30CE"/>
    <w:rsid w:val="00601BDB"/>
    <w:rsid w:val="00613A53"/>
    <w:rsid w:val="00617438"/>
    <w:rsid w:val="00627C75"/>
    <w:rsid w:val="0063767D"/>
    <w:rsid w:val="00647E13"/>
    <w:rsid w:val="006658CD"/>
    <w:rsid w:val="00671FBA"/>
    <w:rsid w:val="00674327"/>
    <w:rsid w:val="00675FCA"/>
    <w:rsid w:val="00677D75"/>
    <w:rsid w:val="0069570A"/>
    <w:rsid w:val="006B2F76"/>
    <w:rsid w:val="006B30C3"/>
    <w:rsid w:val="006C01E7"/>
    <w:rsid w:val="006C099E"/>
    <w:rsid w:val="006C0DF5"/>
    <w:rsid w:val="006D5168"/>
    <w:rsid w:val="006E136D"/>
    <w:rsid w:val="006E35F4"/>
    <w:rsid w:val="0073429D"/>
    <w:rsid w:val="007371C8"/>
    <w:rsid w:val="00741D72"/>
    <w:rsid w:val="00743CC2"/>
    <w:rsid w:val="00753B9C"/>
    <w:rsid w:val="00754F0B"/>
    <w:rsid w:val="00756D11"/>
    <w:rsid w:val="00777B4B"/>
    <w:rsid w:val="00777DDB"/>
    <w:rsid w:val="007C41EE"/>
    <w:rsid w:val="007E7535"/>
    <w:rsid w:val="007F6519"/>
    <w:rsid w:val="007F7561"/>
    <w:rsid w:val="008018F8"/>
    <w:rsid w:val="008035DA"/>
    <w:rsid w:val="00803E42"/>
    <w:rsid w:val="008144DA"/>
    <w:rsid w:val="00821027"/>
    <w:rsid w:val="00830CA6"/>
    <w:rsid w:val="00833F9E"/>
    <w:rsid w:val="008402E4"/>
    <w:rsid w:val="00846E6B"/>
    <w:rsid w:val="008525AB"/>
    <w:rsid w:val="00854504"/>
    <w:rsid w:val="00854A6C"/>
    <w:rsid w:val="00855DEE"/>
    <w:rsid w:val="00856C12"/>
    <w:rsid w:val="00857B21"/>
    <w:rsid w:val="00857F1F"/>
    <w:rsid w:val="00864A05"/>
    <w:rsid w:val="00881135"/>
    <w:rsid w:val="00890362"/>
    <w:rsid w:val="0089320A"/>
    <w:rsid w:val="00896023"/>
    <w:rsid w:val="00897478"/>
    <w:rsid w:val="008A6B6D"/>
    <w:rsid w:val="008C2CE5"/>
    <w:rsid w:val="008C3549"/>
    <w:rsid w:val="008D53F4"/>
    <w:rsid w:val="008D6A89"/>
    <w:rsid w:val="008D7F89"/>
    <w:rsid w:val="008E4CCF"/>
    <w:rsid w:val="008E5350"/>
    <w:rsid w:val="008F1B7A"/>
    <w:rsid w:val="008F2E29"/>
    <w:rsid w:val="009027EA"/>
    <w:rsid w:val="00910F83"/>
    <w:rsid w:val="009128CB"/>
    <w:rsid w:val="0091405B"/>
    <w:rsid w:val="009273F2"/>
    <w:rsid w:val="0095661A"/>
    <w:rsid w:val="0096023F"/>
    <w:rsid w:val="00965D71"/>
    <w:rsid w:val="00967658"/>
    <w:rsid w:val="0097031A"/>
    <w:rsid w:val="00972F16"/>
    <w:rsid w:val="0098737D"/>
    <w:rsid w:val="00992686"/>
    <w:rsid w:val="009951C9"/>
    <w:rsid w:val="009A0E6A"/>
    <w:rsid w:val="009A7E9A"/>
    <w:rsid w:val="009B2363"/>
    <w:rsid w:val="009B26FA"/>
    <w:rsid w:val="009B3A0C"/>
    <w:rsid w:val="009B47BB"/>
    <w:rsid w:val="009B5B13"/>
    <w:rsid w:val="009B7A2B"/>
    <w:rsid w:val="009D1523"/>
    <w:rsid w:val="009D544D"/>
    <w:rsid w:val="009D5CD8"/>
    <w:rsid w:val="009D6E2E"/>
    <w:rsid w:val="009E478D"/>
    <w:rsid w:val="009F6A07"/>
    <w:rsid w:val="00A03790"/>
    <w:rsid w:val="00A0644F"/>
    <w:rsid w:val="00A07279"/>
    <w:rsid w:val="00A10E0F"/>
    <w:rsid w:val="00A227BF"/>
    <w:rsid w:val="00A32A8D"/>
    <w:rsid w:val="00A378C3"/>
    <w:rsid w:val="00A54681"/>
    <w:rsid w:val="00A76E7D"/>
    <w:rsid w:val="00A80F33"/>
    <w:rsid w:val="00A844A9"/>
    <w:rsid w:val="00A85249"/>
    <w:rsid w:val="00AA084C"/>
    <w:rsid w:val="00AA6FC0"/>
    <w:rsid w:val="00AB1E9B"/>
    <w:rsid w:val="00AB4F2C"/>
    <w:rsid w:val="00AB6F65"/>
    <w:rsid w:val="00AB7570"/>
    <w:rsid w:val="00AC098F"/>
    <w:rsid w:val="00AD14EC"/>
    <w:rsid w:val="00AE3222"/>
    <w:rsid w:val="00AE4AA2"/>
    <w:rsid w:val="00B1253D"/>
    <w:rsid w:val="00B27DD4"/>
    <w:rsid w:val="00B40129"/>
    <w:rsid w:val="00B42956"/>
    <w:rsid w:val="00B63B9C"/>
    <w:rsid w:val="00B83C87"/>
    <w:rsid w:val="00B871F6"/>
    <w:rsid w:val="00BA3EB5"/>
    <w:rsid w:val="00BB2832"/>
    <w:rsid w:val="00BD0DBE"/>
    <w:rsid w:val="00BD13BB"/>
    <w:rsid w:val="00BD4C67"/>
    <w:rsid w:val="00BE2D01"/>
    <w:rsid w:val="00BF1604"/>
    <w:rsid w:val="00C13561"/>
    <w:rsid w:val="00C22066"/>
    <w:rsid w:val="00C27090"/>
    <w:rsid w:val="00C40F0D"/>
    <w:rsid w:val="00C4798A"/>
    <w:rsid w:val="00C64065"/>
    <w:rsid w:val="00C70FC2"/>
    <w:rsid w:val="00C7202B"/>
    <w:rsid w:val="00C819B7"/>
    <w:rsid w:val="00C84CE9"/>
    <w:rsid w:val="00CA176F"/>
    <w:rsid w:val="00CA7906"/>
    <w:rsid w:val="00CC697A"/>
    <w:rsid w:val="00CC71FC"/>
    <w:rsid w:val="00CC7AAC"/>
    <w:rsid w:val="00CD762C"/>
    <w:rsid w:val="00CE6AE4"/>
    <w:rsid w:val="00CE6C37"/>
    <w:rsid w:val="00D01CBD"/>
    <w:rsid w:val="00D04AF9"/>
    <w:rsid w:val="00D161DA"/>
    <w:rsid w:val="00D16998"/>
    <w:rsid w:val="00D22A8B"/>
    <w:rsid w:val="00D27CA0"/>
    <w:rsid w:val="00D33CFE"/>
    <w:rsid w:val="00D35541"/>
    <w:rsid w:val="00D453F0"/>
    <w:rsid w:val="00D623D7"/>
    <w:rsid w:val="00D7201A"/>
    <w:rsid w:val="00D84FE6"/>
    <w:rsid w:val="00D9437A"/>
    <w:rsid w:val="00D97BBC"/>
    <w:rsid w:val="00DA18F7"/>
    <w:rsid w:val="00DB20DC"/>
    <w:rsid w:val="00DB6D9C"/>
    <w:rsid w:val="00DC06F3"/>
    <w:rsid w:val="00DC22E3"/>
    <w:rsid w:val="00DC2DC6"/>
    <w:rsid w:val="00DC30DB"/>
    <w:rsid w:val="00DC61A7"/>
    <w:rsid w:val="00DE1293"/>
    <w:rsid w:val="00DE544F"/>
    <w:rsid w:val="00DE588F"/>
    <w:rsid w:val="00DE6D33"/>
    <w:rsid w:val="00DF5B51"/>
    <w:rsid w:val="00E00180"/>
    <w:rsid w:val="00E01F22"/>
    <w:rsid w:val="00E118C2"/>
    <w:rsid w:val="00E15FA6"/>
    <w:rsid w:val="00E3473B"/>
    <w:rsid w:val="00E4007F"/>
    <w:rsid w:val="00E422E0"/>
    <w:rsid w:val="00E46C46"/>
    <w:rsid w:val="00E50512"/>
    <w:rsid w:val="00E525D5"/>
    <w:rsid w:val="00E53367"/>
    <w:rsid w:val="00E7438D"/>
    <w:rsid w:val="00E756CD"/>
    <w:rsid w:val="00E77E76"/>
    <w:rsid w:val="00E877BC"/>
    <w:rsid w:val="00E934AE"/>
    <w:rsid w:val="00E95710"/>
    <w:rsid w:val="00EA2FC0"/>
    <w:rsid w:val="00EA5AD5"/>
    <w:rsid w:val="00EB0BE9"/>
    <w:rsid w:val="00EC6EAC"/>
    <w:rsid w:val="00EC7605"/>
    <w:rsid w:val="00EC775D"/>
    <w:rsid w:val="00F15412"/>
    <w:rsid w:val="00F333E9"/>
    <w:rsid w:val="00F401AA"/>
    <w:rsid w:val="00F40DF5"/>
    <w:rsid w:val="00F53C2C"/>
    <w:rsid w:val="00F57B5C"/>
    <w:rsid w:val="00F64170"/>
    <w:rsid w:val="00F67F38"/>
    <w:rsid w:val="00F71ED3"/>
    <w:rsid w:val="00F73076"/>
    <w:rsid w:val="00F84440"/>
    <w:rsid w:val="00F846C9"/>
    <w:rsid w:val="00F9065F"/>
    <w:rsid w:val="00F91789"/>
    <w:rsid w:val="00FA54AE"/>
    <w:rsid w:val="00FA6B34"/>
    <w:rsid w:val="00FB7E00"/>
    <w:rsid w:val="00FD6467"/>
    <w:rsid w:val="00FD67A4"/>
    <w:rsid w:val="00FE2382"/>
    <w:rsid w:val="00FE4FFC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3B6C3E5D"/>
  <w15:chartTrackingRefBased/>
  <w15:docId w15:val="{7BBF33F4-5339-4E8E-9DE7-E7D7B28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6A"/>
  </w:style>
  <w:style w:type="paragraph" w:styleId="Footer">
    <w:name w:val="footer"/>
    <w:basedOn w:val="Normal"/>
    <w:link w:val="FooterChar"/>
    <w:uiPriority w:val="99"/>
    <w:unhideWhenUsed/>
    <w:rsid w:val="00512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6A"/>
  </w:style>
  <w:style w:type="table" w:styleId="TableGrid">
    <w:name w:val="Table Grid"/>
    <w:basedOn w:val="TableNormal"/>
    <w:uiPriority w:val="39"/>
    <w:rsid w:val="00512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236A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1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6E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5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756CD"/>
    <w:pPr>
      <w:widowControl w:val="0"/>
      <w:autoSpaceDE w:val="0"/>
      <w:autoSpaceDN w:val="0"/>
      <w:spacing w:before="1" w:after="0" w:line="240" w:lineRule="auto"/>
      <w:ind w:left="48"/>
    </w:pPr>
    <w:rPr>
      <w:rFonts w:ascii="Calibri" w:eastAsia="Calibri" w:hAnsi="Calibri" w:cs="Calibri"/>
    </w:rPr>
  </w:style>
  <w:style w:type="paragraph" w:customStyle="1" w:styleId="Tabletext">
    <w:name w:val="Table text"/>
    <w:basedOn w:val="Normal"/>
    <w:qFormat/>
    <w:rsid w:val="00434947"/>
    <w:pPr>
      <w:widowControl w:val="0"/>
      <w:suppressAutoHyphens/>
      <w:adjustRightIn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89A5-F2BD-4EC4-8B84-BCE688E5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1271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Mattice, Bret;Brusven, Taylor</dc:creator>
  <cp:keywords/>
  <dc:description/>
  <cp:lastModifiedBy>Sharkey, Brenda</cp:lastModifiedBy>
  <cp:revision>8</cp:revision>
  <cp:lastPrinted>2024-06-07T16:07:00Z</cp:lastPrinted>
  <dcterms:created xsi:type="dcterms:W3CDTF">2025-04-02T18:14:00Z</dcterms:created>
  <dcterms:modified xsi:type="dcterms:W3CDTF">2025-04-11T13:12:00Z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2006ec7b239bc744933845d115538028e26339f114eeffa02bfa0ed7807243c2</vt:lpwstr>
  </property>
  <property fmtid="{D5CDD505-2E9C-101B-9397-08002B2CF9AE}" pid="3" name="MSIP_Label_ec3b1a8e-41ed-4bc7-92d1-0305fbefd661_Enabled">
    <vt:lpwstr>true</vt:lpwstr>
  </property>
  <property fmtid="{D5CDD505-2E9C-101B-9397-08002B2CF9AE}" pid="4" name="MSIP_Label_ec3b1a8e-41ed-4bc7-92d1-0305fbefd661_SetDate">
    <vt:lpwstr>2025-04-02T18:14:36Z</vt:lpwstr>
  </property>
  <property fmtid="{D5CDD505-2E9C-101B-9397-08002B2CF9AE}" pid="5" name="MSIP_Label_ec3b1a8e-41ed-4bc7-92d1-0305fbefd661_Method">
    <vt:lpwstr>Standard</vt:lpwstr>
  </property>
  <property fmtid="{D5CDD505-2E9C-101B-9397-08002B2CF9AE}" pid="6" name="MSIP_Label_ec3b1a8e-41ed-4bc7-92d1-0305fbefd661_Name">
    <vt:lpwstr>M365-General - Anyone (Unrestricted)-Prod</vt:lpwstr>
  </property>
  <property fmtid="{D5CDD505-2E9C-101B-9397-08002B2CF9AE}" pid="7" name="MSIP_Label_ec3b1a8e-41ed-4bc7-92d1-0305fbefd661_SiteId">
    <vt:lpwstr>70af547c-69ab-416d-b4a6-543b5ce52b99</vt:lpwstr>
  </property>
  <property fmtid="{D5CDD505-2E9C-101B-9397-08002B2CF9AE}" pid="8" name="MSIP_Label_ec3b1a8e-41ed-4bc7-92d1-0305fbefd661_ActionId">
    <vt:lpwstr>66e3a9cd-6271-4410-9c0f-5b208ab48241</vt:lpwstr>
  </property>
  <property fmtid="{D5CDD505-2E9C-101B-9397-08002B2CF9AE}" pid="9" name="MSIP_Label_ec3b1a8e-41ed-4bc7-92d1-0305fbefd661_ContentBits">
    <vt:lpwstr>0</vt:lpwstr>
  </property>
</Properties>
</file>